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b/>
        </w:rPr>
        <w:t>Методическая разработка занятия по русскому языку</w:t>
      </w:r>
    </w:p>
    <w:p>
      <w:pPr>
        <w:pStyle w:val="Heading2"/>
      </w:pPr>
      <w:r>
        <w:rPr>
          <w:b/>
        </w:rPr>
        <w:t>Тема: «Орфоэпические нормы современного русского литературного языка»</w:t>
      </w:r>
    </w:p>
    <w:p>
      <w:r>
        <w:rPr>
          <w:b/>
        </w:rPr>
        <w:t>Целевая аудитория:</w:t>
      </w:r>
      <w:r>
        <w:t xml:space="preserve"> обучающиеся 10–11 классов.</w:t>
      </w:r>
    </w:p>
    <w:p>
      <w:r>
        <w:rPr>
          <w:b/>
        </w:rPr>
        <w:t>Форма проведения:</w:t>
      </w:r>
      <w:r>
        <w:t xml:space="preserve"> комбинированный урок / практикум с элементами интерактивного тренинга.</w:t>
      </w:r>
    </w:p>
    <w:p>
      <w:r>
        <w:rPr>
          <w:b/>
        </w:rPr>
        <w:t>Продолжительность:</w:t>
      </w:r>
      <w:r>
        <w:t xml:space="preserve"> 90 минут (или 2 спаренных академических часа по 45 минут).</w:t>
      </w:r>
    </w:p>
    <w:p>
      <w:pPr>
        <w:pStyle w:val="Heading2"/>
      </w:pPr>
      <w:r>
        <w:rPr>
          <w:b/>
        </w:rPr>
        <w:t>1. Пояснительная записка</w:t>
      </w:r>
    </w:p>
    <w:p>
      <w:r>
        <w:t>Орфоэпическая грамотность выступает важнейшим показателем общей культуры человека, успешности деловой коммуникации, а также обязательным компонентом успешной сдачи государственной итоговой аттестации (ЕГЭ по русскому языку). В старших классах у многих школьников сформированы устойчивые акцентологические ошибки, закрепленные ненормативным окружением, речью СМИ и соцсетей.</w:t>
      </w:r>
    </w:p>
    <w:p>
      <w:r>
        <w:t>Данная разработка нацелена на преодоление механического заучивания через понимание языковых моделей, системных грамматических правил и использование мнемотехнических приемов запоминания трудных случаев ударения и звукового оформления слов.</w:t>
      </w:r>
    </w:p>
    <w:p>
      <w:pPr>
        <w:pStyle w:val="Heading2"/>
      </w:pPr>
      <w:r>
        <w:rPr>
          <w:b/>
        </w:rPr>
        <w:t>2. Цели и задачи занятия</w:t>
      </w:r>
    </w:p>
    <w:p>
      <w:pPr>
        <w:pStyle w:val="Heading3"/>
      </w:pPr>
      <w:r>
        <w:rPr>
          <w:b/>
        </w:rPr>
        <w:t>Цели:</w:t>
      </w:r>
    </w:p>
    <w:p>
      <w:pPr>
        <w:pStyle w:val="ListBullet"/>
      </w:pPr>
      <w:r>
        <w:rPr>
          <w:b/>
        </w:rPr>
        <w:t xml:space="preserve">Образовательная: </w:t>
      </w:r>
      <w:r>
        <w:t>систематизировать знания учащихся об акцентологических и произносительных нормах; изучить системные грамматические закономерности постановки ударения; отработать произношение трудных слов.</w:t>
      </w:r>
    </w:p>
    <w:p>
      <w:pPr>
        <w:pStyle w:val="ListBullet"/>
      </w:pPr>
      <w:r>
        <w:rPr>
          <w:b/>
        </w:rPr>
        <w:t xml:space="preserve">Развивающая: </w:t>
      </w:r>
      <w:r>
        <w:t>развивать фонематический слух, орфоэпическую зоркость, ассоциативную память и навыки уверенного публичного выступления.</w:t>
      </w:r>
    </w:p>
    <w:p>
      <w:pPr>
        <w:pStyle w:val="ListBullet"/>
      </w:pPr>
      <w:r>
        <w:rPr>
          <w:b/>
        </w:rPr>
        <w:t xml:space="preserve">Воспитательная: </w:t>
      </w:r>
      <w:r>
        <w:t>воспитывать культуру речевого поведения и ценностное отношение к богатству и чистоте русского языка.</w:t>
      </w:r>
    </w:p>
    <w:p>
      <w:pPr>
        <w:pStyle w:val="Heading3"/>
      </w:pPr>
      <w:r>
        <w:rPr>
          <w:b/>
        </w:rPr>
        <w:t>Планируемые результаты:</w:t>
      </w:r>
    </w:p>
    <w:p>
      <w:pPr>
        <w:pStyle w:val="ListBullet"/>
      </w:pPr>
      <w:r>
        <w:rPr>
          <w:b/>
        </w:rPr>
        <w:t xml:space="preserve">Личностные: </w:t>
      </w:r>
      <w:r>
        <w:t>осознание роли грамотной речи как фактора успешного личностного и профессионального самоопределения.</w:t>
      </w:r>
    </w:p>
    <w:p>
      <w:pPr>
        <w:pStyle w:val="ListBullet"/>
      </w:pPr>
      <w:r>
        <w:rPr>
          <w:b/>
        </w:rPr>
        <w:t xml:space="preserve">Метапредметные: </w:t>
      </w:r>
      <w:r>
        <w:t>умение ориентироваться в справочной литературе и академических словарях, сопоставлять языковые факты, классифицировать явления по признакам.</w:t>
      </w:r>
    </w:p>
    <w:p>
      <w:pPr>
        <w:pStyle w:val="ListBullet"/>
      </w:pPr>
      <w:r>
        <w:rPr>
          <w:b/>
        </w:rPr>
        <w:t xml:space="preserve">Предметные: </w:t>
      </w:r>
      <w:r>
        <w:t>свободное владение нормами орфоэпического словника ЕГЭ; корректное произношение согласных перед буквой «е» в заимствованиях, а также сочетаний «чн», «чт».</w:t>
      </w:r>
    </w:p>
    <w:p>
      <w:pPr>
        <w:pStyle w:val="Heading2"/>
      </w:pPr>
      <w:r>
        <w:rPr>
          <w:b/>
        </w:rPr>
        <w:t>3. Материально-техническое и дидактическое обеспечение</w:t>
      </w:r>
    </w:p>
    <w:p>
      <w:pPr>
        <w:pStyle w:val="ListBullet"/>
      </w:pPr>
      <w:r>
        <w:t>Мультимедийное оборудование (проектор, экран) для демонстрации интерактивных слайдов.</w:t>
      </w:r>
    </w:p>
    <w:p>
      <w:pPr>
        <w:pStyle w:val="ListBullet"/>
      </w:pPr>
      <w:r>
        <w:t>Раздаточный комплект: карточки с заданиями для работы в парах, орфоэпические карты самоконтроля.</w:t>
      </w:r>
    </w:p>
    <w:p>
      <w:pPr>
        <w:pStyle w:val="ListBullet"/>
      </w:pPr>
      <w:r>
        <w:t>Словари: академические орфоэпические словари под ред. Р. И. Аванесова, Н. А. Еськовой, К. С. Горбачевича.</w:t>
      </w:r>
    </w:p>
    <w:p>
      <w:pPr>
        <w:pStyle w:val="ListBullet"/>
      </w:pPr>
      <w:r>
        <w:t>Листы самооценки и бланки для итогового диагностического теста.</w:t>
      </w:r>
    </w:p>
    <w:p>
      <w:pPr>
        <w:pStyle w:val="Heading2"/>
      </w:pPr>
      <w:r>
        <w:rPr>
          <w:b/>
        </w:rPr>
        <w:t>4. План-график занятия (90 минут)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Этап урока</w:t>
            </w:r>
          </w:p>
        </w:tc>
        <w:tc>
          <w:tcPr>
            <w:tcW w:type="dxa" w:w="2880"/>
          </w:tcPr>
          <w:p>
            <w:r>
              <w:rPr>
                <w:b/>
              </w:rPr>
              <w:t>Время</w:t>
            </w:r>
          </w:p>
        </w:tc>
        <w:tc>
          <w:tcPr>
            <w:tcW w:type="dxa" w:w="2880"/>
          </w:tcPr>
          <w:p>
            <w:r>
              <w:rPr>
                <w:b/>
              </w:rPr>
              <w:t>Содержание и задачи этапа</w:t>
            </w:r>
          </w:p>
        </w:tc>
      </w:tr>
      <w:tr>
        <w:tc>
          <w:tcPr>
            <w:tcW w:type="dxa" w:w="2880"/>
          </w:tcPr>
          <w:p>
            <w:r>
              <w:t>1. Организационный момент</w:t>
            </w:r>
          </w:p>
        </w:tc>
        <w:tc>
          <w:tcPr>
            <w:tcW w:type="dxa" w:w="2880"/>
          </w:tcPr>
          <w:p>
            <w:r>
              <w:t>5 мин</w:t>
            </w:r>
          </w:p>
        </w:tc>
        <w:tc>
          <w:tcPr>
            <w:tcW w:type="dxa" w:w="2880"/>
          </w:tcPr>
          <w:p>
            <w:r>
              <w:t>Мотивация, создание проблемной ситуации («речевая провокация»).</w:t>
            </w:r>
          </w:p>
        </w:tc>
      </w:tr>
      <w:tr>
        <w:tc>
          <w:tcPr>
            <w:tcW w:type="dxa" w:w="2880"/>
          </w:tcPr>
          <w:p>
            <w:r>
              <w:t>2. Актуализация понятий</w:t>
            </w:r>
          </w:p>
        </w:tc>
        <w:tc>
          <w:tcPr>
            <w:tcW w:type="dxa" w:w="2880"/>
          </w:tcPr>
          <w:p>
            <w:r>
              <w:t>10 мин</w:t>
            </w:r>
          </w:p>
        </w:tc>
        <w:tc>
          <w:tcPr>
            <w:tcW w:type="dxa" w:w="2880"/>
          </w:tcPr>
          <w:p>
            <w:r>
              <w:t>Определение орфоэпии, специфика и свойства русского ударения.</w:t>
            </w:r>
          </w:p>
        </w:tc>
      </w:tr>
      <w:tr>
        <w:tc>
          <w:tcPr>
            <w:tcW w:type="dxa" w:w="2880"/>
          </w:tcPr>
          <w:p>
            <w:r>
              <w:t>3. Теоретический блок</w:t>
            </w:r>
          </w:p>
        </w:tc>
        <w:tc>
          <w:tcPr>
            <w:tcW w:type="dxa" w:w="2880"/>
          </w:tcPr>
          <w:p>
            <w:r>
              <w:t>25 мин</w:t>
            </w:r>
          </w:p>
        </w:tc>
        <w:tc>
          <w:tcPr>
            <w:tcW w:type="dxa" w:w="2880"/>
          </w:tcPr>
          <w:p>
            <w:r>
              <w:t>Грамматические модели акцентуации, правила произношения согласных.</w:t>
            </w:r>
          </w:p>
        </w:tc>
      </w:tr>
      <w:tr>
        <w:tc>
          <w:tcPr>
            <w:tcW w:type="dxa" w:w="2880"/>
          </w:tcPr>
          <w:p>
            <w:r>
              <w:t>4. Практикум и тренинг</w:t>
            </w:r>
          </w:p>
        </w:tc>
        <w:tc>
          <w:tcPr>
            <w:tcW w:type="dxa" w:w="2880"/>
          </w:tcPr>
          <w:p>
            <w:r>
              <w:t>35 мин</w:t>
            </w:r>
          </w:p>
        </w:tc>
        <w:tc>
          <w:tcPr>
            <w:tcW w:type="dxa" w:w="2880"/>
          </w:tcPr>
          <w:p>
            <w:r>
              <w:t>Групповые упражнения, парное орфоэпическое лото, кейс диктора.</w:t>
            </w:r>
          </w:p>
        </w:tc>
      </w:tr>
      <w:tr>
        <w:tc>
          <w:tcPr>
            <w:tcW w:type="dxa" w:w="2880"/>
          </w:tcPr>
          <w:p>
            <w:r>
              <w:t>5. Контроль знаний</w:t>
            </w:r>
          </w:p>
        </w:tc>
        <w:tc>
          <w:tcPr>
            <w:tcW w:type="dxa" w:w="2880"/>
          </w:tcPr>
          <w:p>
            <w:r>
              <w:t>10 мин</w:t>
            </w:r>
          </w:p>
        </w:tc>
        <w:tc>
          <w:tcPr>
            <w:tcW w:type="dxa" w:w="2880"/>
          </w:tcPr>
          <w:p>
            <w:r>
              <w:t>Выполнение экспресс-теста в формате задания ЕГЭ.</w:t>
            </w:r>
          </w:p>
        </w:tc>
      </w:tr>
      <w:tr>
        <w:tc>
          <w:tcPr>
            <w:tcW w:type="dxa" w:w="2880"/>
          </w:tcPr>
          <w:p>
            <w:r>
              <w:t>6. Итоги и рефлексия</w:t>
            </w:r>
          </w:p>
        </w:tc>
        <w:tc>
          <w:tcPr>
            <w:tcW w:type="dxa" w:w="2880"/>
          </w:tcPr>
          <w:p>
            <w:r>
              <w:t>5 мин</w:t>
            </w:r>
          </w:p>
        </w:tc>
        <w:tc>
          <w:tcPr>
            <w:tcW w:type="dxa" w:w="2880"/>
          </w:tcPr>
          <w:p>
            <w:r>
              <w:t>Анализ успехов, инструктаж по домашнему заданию.</w:t>
            </w:r>
          </w:p>
        </w:tc>
      </w:tr>
    </w:tbl>
    <w:p>
      <w:pPr>
        <w:pStyle w:val="Heading2"/>
      </w:pPr>
      <w:r>
        <w:rPr>
          <w:b/>
        </w:rPr>
        <w:t>5. Ход занятия</w:t>
      </w:r>
    </w:p>
    <w:p>
      <w:pPr>
        <w:pStyle w:val="Heading3"/>
      </w:pPr>
      <w:r>
        <w:rPr>
          <w:b/>
        </w:rPr>
        <w:t>Этап 1. Мотивация и формулировка темы</w:t>
      </w:r>
    </w:p>
    <w:p>
      <w:r>
        <w:rPr>
          <w:b/>
        </w:rPr>
        <w:t xml:space="preserve">Прием «Речевая провокация». </w:t>
      </w:r>
      <w:r>
        <w:t>Учитель зачитывает текст, изобилующий типичными акцентологическими ошибками:</w:t>
      </w:r>
    </w:p>
    <w:p>
      <w:r>
        <w:rPr>
          <w:i/>
        </w:rPr>
        <w:t>«По срЕдам наш квартАл заключАет договОры на оптОвые постАвки тортОв и слИвового джЕма. ЭкспЕрты звонЯт в магазИны, чтобы убыстрИть процЕсс закупок...»</w:t>
      </w:r>
    </w:p>
    <w:p>
      <w:r>
        <w:t>Вопрос классу: Что вызывает слуховой дискомфорт? В каких словах допущены отклонения от литературной нормы? Учащиеся формулируют тему и задачи урока.</w:t>
      </w:r>
    </w:p>
    <w:p>
      <w:pPr>
        <w:pStyle w:val="Heading3"/>
      </w:pPr>
      <w:r>
        <w:rPr>
          <w:b/>
        </w:rPr>
        <w:t>Этап 2. Актуализация теоретических основ</w:t>
      </w:r>
    </w:p>
    <w:p>
      <w:r>
        <w:t>Учитель актуализирует сведения о природе ударения в русском языке:</w:t>
      </w:r>
    </w:p>
    <w:p>
      <w:pPr>
        <w:pStyle w:val="ListBullet"/>
      </w:pPr>
      <w:r>
        <w:rPr>
          <w:b/>
        </w:rPr>
        <w:t xml:space="preserve">Разноместность: </w:t>
      </w:r>
      <w:r>
        <w:t>ударение не закреплено за конкретным слогом (в отличие от польского или французского языков) и может падать на любую часть слова.</w:t>
      </w:r>
    </w:p>
    <w:p>
      <w:pPr>
        <w:pStyle w:val="ListBullet"/>
      </w:pPr>
      <w:r>
        <w:rPr>
          <w:b/>
        </w:rPr>
        <w:t xml:space="preserve">Подвижность: </w:t>
      </w:r>
      <w:r>
        <w:t>способность ударения перемещаться при формоизменении одного и того же слова (рукА — рУку, стенА — стЕны).</w:t>
      </w:r>
    </w:p>
    <w:p>
      <w:pPr>
        <w:pStyle w:val="ListBullet"/>
      </w:pPr>
      <w:r>
        <w:rPr>
          <w:b/>
        </w:rPr>
        <w:t xml:space="preserve">Дифференцирующая функция: </w:t>
      </w:r>
      <w:r>
        <w:t>различение лексического значения (атлАс — Атлас) или грамматических форм (окнА — Окна).</w:t>
      </w:r>
    </w:p>
    <w:p>
      <w:pPr>
        <w:pStyle w:val="Heading3"/>
      </w:pPr>
      <w:r>
        <w:rPr>
          <w:b/>
        </w:rPr>
        <w:t>Этап 3. Систематизация норм: грамматические модели и правила</w:t>
      </w:r>
    </w:p>
    <w:p>
      <w:pPr>
        <w:pStyle w:val="Heading4"/>
      </w:pPr>
      <w:r>
        <w:rPr>
          <w:b/>
        </w:rPr>
        <w:t>Блок А. Акцентологические модели по частям речи</w:t>
      </w:r>
    </w:p>
    <w:p>
      <w:pPr>
        <w:pStyle w:val="ListBullet"/>
      </w:pPr>
      <w:r>
        <w:rPr>
          <w:b/>
        </w:rPr>
        <w:t xml:space="preserve">Глаголы прошедшего времени: </w:t>
      </w:r>
      <w:r>
        <w:t>в форме женского рода ударение переходит на окончание (бралА, ждалА, лилА, рвалА). Исключения: приставка вы- (вЫлила, вЫзвала) и глаголы клАла, крАла, слАла, закрАлась.</w:t>
      </w:r>
    </w:p>
    <w:p>
      <w:pPr>
        <w:pStyle w:val="ListBullet"/>
      </w:pPr>
      <w:r>
        <w:rPr>
          <w:b/>
        </w:rPr>
        <w:t xml:space="preserve">Причастия прошедшего времени: </w:t>
      </w:r>
      <w:r>
        <w:t>суффикс -ВШ- сохраняет позицию ударения инфинитива (начАть — начАвший, понЯть — понЯвший). Суффикс -ЁНН- в кратких формах женского рода требует ударения на окончании (включенА, заселенА). В формах на -Т- ударение падает на основу (зАпертый, зАгнутый).</w:t>
      </w:r>
    </w:p>
    <w:p>
      <w:pPr>
        <w:pStyle w:val="ListBullet"/>
      </w:pPr>
      <w:r>
        <w:rPr>
          <w:b/>
        </w:rPr>
        <w:t xml:space="preserve">Деепричастия: </w:t>
      </w:r>
      <w:r>
        <w:t>ударение совпадает с глагольной формой исходного глагола (начАть — начАв, понЯть — понЯв, отдАть — отдАв).</w:t>
      </w:r>
    </w:p>
    <w:p>
      <w:pPr>
        <w:pStyle w:val="ListBullet"/>
      </w:pPr>
      <w:r>
        <w:rPr>
          <w:b/>
        </w:rPr>
        <w:t xml:space="preserve">Имена существительные: </w:t>
      </w:r>
      <w:r>
        <w:t>неподвижное ударение на основе (бАнт — бАнты, тОрт — тОрты, шарф — шАрфы); заимствования из французского языка сохраняют конечный слог (жалюзИ, диспансЕр, партер); сложные слова на -провод (водопровОд, нефтепровод, но: электропрОвод).</w:t>
      </w:r>
    </w:p>
    <w:p>
      <w:pPr>
        <w:pStyle w:val="ListBullet"/>
      </w:pPr>
      <w:r>
        <w:rPr>
          <w:b/>
        </w:rPr>
        <w:t xml:space="preserve">Имена прилагательные: </w:t>
      </w:r>
      <w:r>
        <w:t>сравнительная степень ориентируется на краткую форму ж. р. (красивА — красИвее, но быстрА — быстрЕе). В отыменных формах ударение часто падает на корень: слИвовый (от слИва), кУхонный (от кУхня).</w:t>
      </w:r>
    </w:p>
    <w:p>
      <w:pPr>
        <w:pStyle w:val="Heading4"/>
      </w:pPr>
      <w:r>
        <w:rPr>
          <w:b/>
        </w:rPr>
        <w:t>Блок Б. Собственно произносительные нормы</w:t>
      </w:r>
    </w:p>
    <w:p>
      <w:pPr>
        <w:pStyle w:val="ListBullet"/>
      </w:pPr>
      <w:r>
        <w:rPr>
          <w:b/>
        </w:rPr>
        <w:t xml:space="preserve">Твердое произношение согласного перед [э]: </w:t>
      </w:r>
      <w:r>
        <w:t>компью[тэ]р, пар[тэ]р, сви[тэ]р, [дэ]тектив, ше[дэ]вр, бутерброд.</w:t>
      </w:r>
    </w:p>
    <w:p>
      <w:pPr>
        <w:pStyle w:val="ListBullet"/>
      </w:pPr>
      <w:r>
        <w:rPr>
          <w:b/>
        </w:rPr>
        <w:t xml:space="preserve">Мягкое произношение согласного перед [э]: </w:t>
      </w:r>
      <w:r>
        <w:t>му[з'э]й, ака[д'э]мия, [д'э]кан, ши[н'э]ль, тер[м'и]н, [т'э]мп.</w:t>
      </w:r>
    </w:p>
    <w:p>
      <w:pPr>
        <w:pStyle w:val="ListBullet"/>
      </w:pPr>
      <w:r>
        <w:rPr>
          <w:b/>
        </w:rPr>
        <w:t xml:space="preserve">Сочетания «чн» и «чт»: </w:t>
      </w:r>
      <w:r>
        <w:t>произносятся как [шн] в словах яи[шн]ица, коне[шн]о, наро[шн]о, пустя[шн]ый, скворе[шн]ик; как [шт] в словах что, чтобы. В большинстве книжных слов сохраняется [чн]: то[чн]ый, анти[чн]ый.</w:t>
      </w:r>
    </w:p>
    <w:p>
      <w:pPr>
        <w:pStyle w:val="Heading3"/>
      </w:pPr>
      <w:r>
        <w:rPr>
          <w:b/>
        </w:rPr>
        <w:t>Этап 4. Практикум и интерактивные упражнения</w:t>
      </w:r>
    </w:p>
    <w:p>
      <w:r>
        <w:rPr>
          <w:b/>
        </w:rPr>
        <w:t xml:space="preserve">Упражнение 1. «Орфоэпическое лото» (работа в парах). </w:t>
      </w:r>
      <w:r>
        <w:t>Учащимся предлагается распределить слова по двум группам: ударение на первом слоге и ударение на втором/последующем слоге. Список слов: тУфля, свЁкла, слИвовый, цЕпочка (неверно: цепОчка), донЕльзя, оптОвый, сирОты, жалюзИ, экспЕрт, завИдно, исчЕрпать.</w:t>
      </w:r>
    </w:p>
    <w:p>
      <w:r>
        <w:rPr>
          <w:b/>
        </w:rPr>
        <w:t xml:space="preserve">Упражнение 2. Мнемотехника и рифмовки. </w:t>
      </w:r>
      <w:r>
        <w:t>Использование рифмованных двустиший для закрепления нормативного ударения:</w:t>
      </w:r>
    </w:p>
    <w:p>
      <w:pPr>
        <w:pStyle w:val="ListBullet"/>
      </w:pPr>
      <w:r>
        <w:rPr>
          <w:i/>
        </w:rPr>
        <w:t>«Не влезает в шорты — ох, объелся тОртами!»</w:t>
      </w:r>
    </w:p>
    <w:p>
      <w:pPr>
        <w:pStyle w:val="ListBullet"/>
      </w:pPr>
      <w:r>
        <w:rPr>
          <w:i/>
        </w:rPr>
        <w:t>«Красить стены мы устали, нам повесьте жалюзИ!»</w:t>
      </w:r>
    </w:p>
    <w:p>
      <w:pPr>
        <w:pStyle w:val="ListBullet"/>
      </w:pPr>
      <w:r>
        <w:rPr>
          <w:i/>
        </w:rPr>
        <w:t>«Фёкла ела только свёклу!»</w:t>
      </w:r>
    </w:p>
    <w:p>
      <w:pPr>
        <w:pStyle w:val="ListBullet"/>
      </w:pPr>
      <w:r>
        <w:rPr>
          <w:i/>
        </w:rPr>
        <w:t>«ЗвонИт звонарь, звонЯт в звонок, чтоб ты запомнить точно смог!»</w:t>
      </w:r>
    </w:p>
    <w:p>
      <w:pPr>
        <w:pStyle w:val="ListBullet"/>
      </w:pPr>
      <w:r>
        <w:rPr>
          <w:i/>
        </w:rPr>
        <w:t>«Срубили ель, сорвали щавЕль!»</w:t>
      </w:r>
    </w:p>
    <w:p>
      <w:r>
        <w:rPr>
          <w:b/>
        </w:rPr>
        <w:t xml:space="preserve">Упражнение 3. Ролевая ситуация «Диктор прямого эфира». </w:t>
      </w:r>
      <w:r>
        <w:t>Один ученик зачитывает информационное сообщение перед аудиторией, класс фиксирует возможные орфоэпические погрешности по контрольному листу:</w:t>
      </w:r>
    </w:p>
    <w:p>
      <w:r>
        <w:rPr>
          <w:i/>
        </w:rPr>
        <w:t>«Сегодня в полночь вступил в силу новый договОр. ЭкспЕрты оптОвых сетей подчеркнули, что процесс сбОра документации был облегчЁн. ОсведомИть граждан о нововведениях поручено специальной комиссии...»</w:t>
      </w:r>
    </w:p>
    <w:p>
      <w:pPr>
        <w:pStyle w:val="Heading3"/>
      </w:pPr>
      <w:r>
        <w:rPr>
          <w:b/>
        </w:rPr>
        <w:t>Этап 5. Контрольный блок (тестовый экспресс-опрос)</w:t>
      </w:r>
    </w:p>
    <w:p>
      <w:r>
        <w:t>Ученики получают бланк с 5 вопросами формата ЕГЭ (указать строки, где верно выделена буква, обозначающая ударный гласный звук). На выполнение отводится 7 минут, 3 минуты — на взаимопроверку по ключам на слайде.</w:t>
      </w:r>
    </w:p>
    <w:p>
      <w:pPr>
        <w:pStyle w:val="Heading3"/>
      </w:pPr>
      <w:r>
        <w:rPr>
          <w:b/>
        </w:rPr>
        <w:t>Этап 6. Рефлексия и домашнее задание</w:t>
      </w:r>
    </w:p>
    <w:p>
      <w:r>
        <w:rPr>
          <w:b/>
        </w:rPr>
        <w:t xml:space="preserve">Подведение итогов: </w:t>
      </w:r>
      <w:r>
        <w:t>ученики формулируют главные выводы занятия, оценивают уровень личной орфоэпической уверенности с помощью шкалы самооценки.</w:t>
      </w:r>
    </w:p>
    <w:p>
      <w:r>
        <w:rPr>
          <w:b/>
        </w:rPr>
        <w:t>Домашнее задание:</w:t>
      </w:r>
    </w:p>
    <w:p>
      <w:pPr>
        <w:pStyle w:val="ListBullet"/>
      </w:pPr>
      <w:r>
        <w:t>Выучить орфоэпические группы из раздаточного листа (словник ФИПИ).</w:t>
      </w:r>
    </w:p>
    <w:p>
      <w:pPr>
        <w:pStyle w:val="ListBullet"/>
      </w:pPr>
      <w:r>
        <w:t>Составить собственный мнемотекст (связный рассказ или стихотворение из 8–10 сложных слов с верной расстановкой ударений).</w:t>
      </w:r>
    </w:p>
    <w:p>
      <w:pPr>
        <w:pStyle w:val="ListBullet"/>
      </w:pPr>
      <w:r>
        <w:t>Выполнить 10 тренировочных вариантов задания по орфоэпии в открытом банке заданий.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