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31F" w:rsidRDefault="0051231F" w:rsidP="0051231F">
      <w:pPr>
        <w:suppressAutoHyphens/>
        <w:spacing w:after="0" w:line="240" w:lineRule="auto"/>
        <w:jc w:val="center"/>
      </w:pPr>
      <w:r>
        <w:t xml:space="preserve">МУНИЦИПАЛЬНОЕ АВТОНОМНОЕ ОБЩЕОБРАЗОВАТЕЛЬНОЕ УЧРЕЖДЕНИЕ  «ЮГО-КАМСКАЯ СРЕДНЯ ШКОЛА» </w:t>
      </w:r>
    </w:p>
    <w:p w:rsidR="00DE6564" w:rsidRDefault="00B92693" w:rsidP="0051231F">
      <w:pPr>
        <w:suppressAutoHyphens/>
        <w:spacing w:after="0"/>
        <w:jc w:val="center"/>
      </w:pPr>
      <w:r>
        <w:rPr>
          <w:b/>
          <w:caps/>
        </w:rPr>
        <w:t>Доклад</w:t>
      </w:r>
    </w:p>
    <w:p w:rsidR="00DE6564" w:rsidRDefault="00B92693">
      <w:pPr>
        <w:suppressAutoHyphens/>
        <w:spacing w:after="0"/>
        <w:jc w:val="center"/>
      </w:pPr>
      <w:r>
        <w:rPr>
          <w:b/>
          <w:sz w:val="44"/>
        </w:rPr>
        <w:t>ВНЕДРЕНИЕ ВФСК "ГТО" В УЧЕБНЫЙ ПРОЦЕСС В ШКОЛЕ</w:t>
      </w:r>
    </w:p>
    <w:p w:rsidR="00DE6564" w:rsidRDefault="00DE6564">
      <w:pPr>
        <w:suppressAutoHyphens/>
        <w:spacing w:after="0"/>
        <w:jc w:val="center"/>
      </w:pPr>
    </w:p>
    <w:p w:rsidR="0051231F" w:rsidRDefault="00B92693" w:rsidP="0051231F">
      <w:pPr>
        <w:suppressAutoHyphens/>
        <w:spacing w:after="0"/>
        <w:ind w:left="4535"/>
        <w:jc w:val="right"/>
      </w:pPr>
      <w:r>
        <w:t>Автор проекта:</w:t>
      </w:r>
      <w:r>
        <w:br/>
      </w:r>
      <w:proofErr w:type="spellStart"/>
      <w:r w:rsidR="0051231F">
        <w:t>Травникова</w:t>
      </w:r>
      <w:proofErr w:type="spellEnd"/>
      <w:r w:rsidR="0051231F">
        <w:t xml:space="preserve"> С.Н.</w:t>
      </w:r>
    </w:p>
    <w:p w:rsidR="00DE6564" w:rsidRDefault="00DE6564">
      <w:pPr>
        <w:suppressAutoHyphens/>
        <w:spacing w:after="0"/>
        <w:jc w:val="center"/>
      </w:pPr>
    </w:p>
    <w:p w:rsidR="00DE6564" w:rsidRDefault="0051231F">
      <w:pPr>
        <w:suppressAutoHyphens/>
        <w:spacing w:after="0"/>
        <w:jc w:val="center"/>
      </w:pPr>
      <w:r>
        <w:t>пос. Юго-Камский,</w:t>
      </w:r>
      <w:r w:rsidR="00B92693">
        <w:t xml:space="preserve"> 2026 год</w:t>
      </w:r>
    </w:p>
    <w:p w:rsidR="00DE6564" w:rsidRDefault="00DE6564">
      <w:pPr>
        <w:sectPr w:rsidR="00DE6564">
          <w:footerReference w:type="default" r:id="rId9"/>
          <w:pgSz w:w="12240" w:h="15840"/>
          <w:pgMar w:top="1134" w:right="850" w:bottom="1134" w:left="1701" w:header="720" w:footer="720" w:gutter="0"/>
          <w:pgNumType w:start="1"/>
          <w:cols w:space="720"/>
          <w:vAlign w:val="both"/>
          <w:titlePg/>
          <w:docGrid w:linePitch="360"/>
        </w:sectPr>
      </w:pPr>
    </w:p>
    <w:p w:rsidR="00DE6564" w:rsidRDefault="00B92693">
      <w:pPr>
        <w:jc w:val="center"/>
      </w:pPr>
      <w:r>
        <w:rPr>
          <w:b/>
        </w:rPr>
        <w:lastRenderedPageBreak/>
        <w:t>Содержание</w:t>
      </w:r>
    </w:p>
    <w:p w:rsidR="0051231F" w:rsidRDefault="00B92693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43225199" w:history="1">
        <w:r w:rsidR="0051231F" w:rsidRPr="00177E48">
          <w:rPr>
            <w:rStyle w:val="aff8"/>
            <w:rFonts w:eastAsiaTheme="majorEastAsia"/>
            <w:noProof/>
          </w:rPr>
          <w:t>Введение</w:t>
        </w:r>
        <w:r w:rsidR="0051231F">
          <w:rPr>
            <w:noProof/>
            <w:webHidden/>
          </w:rPr>
          <w:tab/>
        </w:r>
        <w:r w:rsidR="0051231F">
          <w:rPr>
            <w:noProof/>
            <w:webHidden/>
          </w:rPr>
          <w:fldChar w:fldCharType="begin"/>
        </w:r>
        <w:r w:rsidR="0051231F">
          <w:rPr>
            <w:noProof/>
            <w:webHidden/>
          </w:rPr>
          <w:instrText xml:space="preserve"> PAGEREF _Toc243225199 \h </w:instrText>
        </w:r>
        <w:r w:rsidR="0051231F">
          <w:rPr>
            <w:noProof/>
            <w:webHidden/>
          </w:rPr>
        </w:r>
        <w:r w:rsidR="0051231F">
          <w:rPr>
            <w:noProof/>
            <w:webHidden/>
          </w:rPr>
          <w:fldChar w:fldCharType="separate"/>
        </w:r>
        <w:r w:rsidR="0051231F">
          <w:rPr>
            <w:noProof/>
            <w:webHidden/>
          </w:rPr>
          <w:t>3</w:t>
        </w:r>
        <w:r w:rsidR="0051231F">
          <w:rPr>
            <w:noProof/>
            <w:webHidden/>
          </w:rPr>
          <w:fldChar w:fldCharType="end"/>
        </w:r>
      </w:hyperlink>
    </w:p>
    <w:p w:rsidR="0051231F" w:rsidRDefault="00EA7C7C">
      <w:pPr>
        <w:pStyle w:val="14"/>
        <w:tabs>
          <w:tab w:val="right" w:leader="dot" w:pos="9679"/>
        </w:tabs>
        <w:rPr>
          <w:noProof/>
        </w:rPr>
      </w:pPr>
      <w:hyperlink w:anchor="_Toc243225200" w:history="1">
        <w:r w:rsidR="0051231F" w:rsidRPr="00177E48">
          <w:rPr>
            <w:rStyle w:val="aff8"/>
            <w:rFonts w:eastAsiaTheme="majorEastAsia"/>
            <w:noProof/>
          </w:rPr>
          <w:t>Глава 1. Нормативная база и требования ВФСК «ГТО» для школ</w:t>
        </w:r>
        <w:r w:rsidR="0051231F">
          <w:rPr>
            <w:noProof/>
            <w:webHidden/>
          </w:rPr>
          <w:tab/>
        </w:r>
        <w:r w:rsidR="0051231F">
          <w:rPr>
            <w:noProof/>
            <w:webHidden/>
          </w:rPr>
          <w:fldChar w:fldCharType="begin"/>
        </w:r>
        <w:r w:rsidR="0051231F">
          <w:rPr>
            <w:noProof/>
            <w:webHidden/>
          </w:rPr>
          <w:instrText xml:space="preserve"> PAGEREF _Toc243225200 \h </w:instrText>
        </w:r>
        <w:r w:rsidR="0051231F">
          <w:rPr>
            <w:noProof/>
            <w:webHidden/>
          </w:rPr>
        </w:r>
        <w:r w:rsidR="0051231F">
          <w:rPr>
            <w:noProof/>
            <w:webHidden/>
          </w:rPr>
          <w:fldChar w:fldCharType="separate"/>
        </w:r>
        <w:r w:rsidR="0051231F">
          <w:rPr>
            <w:noProof/>
            <w:webHidden/>
          </w:rPr>
          <w:t>4</w:t>
        </w:r>
        <w:r w:rsidR="0051231F">
          <w:rPr>
            <w:noProof/>
            <w:webHidden/>
          </w:rPr>
          <w:fldChar w:fldCharType="end"/>
        </w:r>
      </w:hyperlink>
    </w:p>
    <w:p w:rsidR="0051231F" w:rsidRDefault="00EA7C7C">
      <w:pPr>
        <w:pStyle w:val="14"/>
        <w:tabs>
          <w:tab w:val="right" w:leader="dot" w:pos="9679"/>
        </w:tabs>
        <w:rPr>
          <w:noProof/>
        </w:rPr>
      </w:pPr>
      <w:hyperlink w:anchor="_Toc243225201" w:history="1">
        <w:r w:rsidR="0051231F" w:rsidRPr="00177E48">
          <w:rPr>
            <w:rStyle w:val="aff8"/>
            <w:rFonts w:eastAsiaTheme="majorEastAsia"/>
            <w:noProof/>
          </w:rPr>
          <w:t>Глава 2. Планирование учебных занятий: виды упражнений и распределение по четвертям</w:t>
        </w:r>
        <w:r w:rsidR="0051231F">
          <w:rPr>
            <w:noProof/>
            <w:webHidden/>
          </w:rPr>
          <w:tab/>
        </w:r>
        <w:r w:rsidR="0051231F">
          <w:rPr>
            <w:noProof/>
            <w:webHidden/>
          </w:rPr>
          <w:fldChar w:fldCharType="begin"/>
        </w:r>
        <w:r w:rsidR="0051231F">
          <w:rPr>
            <w:noProof/>
            <w:webHidden/>
          </w:rPr>
          <w:instrText xml:space="preserve"> PAGEREF _Toc243225201 \h </w:instrText>
        </w:r>
        <w:r w:rsidR="0051231F">
          <w:rPr>
            <w:noProof/>
            <w:webHidden/>
          </w:rPr>
        </w:r>
        <w:r w:rsidR="0051231F">
          <w:rPr>
            <w:noProof/>
            <w:webHidden/>
          </w:rPr>
          <w:fldChar w:fldCharType="separate"/>
        </w:r>
        <w:r w:rsidR="0051231F">
          <w:rPr>
            <w:noProof/>
            <w:webHidden/>
          </w:rPr>
          <w:t>6</w:t>
        </w:r>
        <w:r w:rsidR="0051231F">
          <w:rPr>
            <w:noProof/>
            <w:webHidden/>
          </w:rPr>
          <w:fldChar w:fldCharType="end"/>
        </w:r>
      </w:hyperlink>
    </w:p>
    <w:p w:rsidR="0051231F" w:rsidRDefault="00EA7C7C">
      <w:pPr>
        <w:pStyle w:val="14"/>
        <w:tabs>
          <w:tab w:val="right" w:leader="dot" w:pos="9679"/>
        </w:tabs>
        <w:rPr>
          <w:noProof/>
        </w:rPr>
      </w:pPr>
      <w:hyperlink w:anchor="_Toc243225202" w:history="1">
        <w:r w:rsidR="0051231F" w:rsidRPr="00177E48">
          <w:rPr>
            <w:rStyle w:val="aff8"/>
            <w:rFonts w:eastAsiaTheme="majorEastAsia"/>
            <w:noProof/>
          </w:rPr>
          <w:t>Глава 3. Подготовка учащихся: тренировочные программы по возрастным ступеням</w:t>
        </w:r>
        <w:r w:rsidR="0051231F">
          <w:rPr>
            <w:noProof/>
            <w:webHidden/>
          </w:rPr>
          <w:tab/>
        </w:r>
        <w:r w:rsidR="0051231F">
          <w:rPr>
            <w:noProof/>
            <w:webHidden/>
          </w:rPr>
          <w:fldChar w:fldCharType="begin"/>
        </w:r>
        <w:r w:rsidR="0051231F">
          <w:rPr>
            <w:noProof/>
            <w:webHidden/>
          </w:rPr>
          <w:instrText xml:space="preserve"> PAGEREF _Toc243225202 \h </w:instrText>
        </w:r>
        <w:r w:rsidR="0051231F">
          <w:rPr>
            <w:noProof/>
            <w:webHidden/>
          </w:rPr>
        </w:r>
        <w:r w:rsidR="0051231F">
          <w:rPr>
            <w:noProof/>
            <w:webHidden/>
          </w:rPr>
          <w:fldChar w:fldCharType="separate"/>
        </w:r>
        <w:r w:rsidR="0051231F">
          <w:rPr>
            <w:noProof/>
            <w:webHidden/>
          </w:rPr>
          <w:t>8</w:t>
        </w:r>
        <w:r w:rsidR="0051231F">
          <w:rPr>
            <w:noProof/>
            <w:webHidden/>
          </w:rPr>
          <w:fldChar w:fldCharType="end"/>
        </w:r>
      </w:hyperlink>
    </w:p>
    <w:p w:rsidR="0051231F" w:rsidRDefault="00EA7C7C">
      <w:pPr>
        <w:pStyle w:val="14"/>
        <w:tabs>
          <w:tab w:val="right" w:leader="dot" w:pos="9679"/>
        </w:tabs>
        <w:rPr>
          <w:noProof/>
        </w:rPr>
      </w:pPr>
      <w:hyperlink w:anchor="_Toc243225203" w:history="1">
        <w:r w:rsidR="0051231F" w:rsidRPr="00177E48">
          <w:rPr>
            <w:rStyle w:val="aff8"/>
            <w:rFonts w:eastAsiaTheme="majorEastAsia"/>
            <w:noProof/>
          </w:rPr>
          <w:t>Глава 4. Организация тестирования и оценивание результатов</w:t>
        </w:r>
        <w:r w:rsidR="0051231F">
          <w:rPr>
            <w:noProof/>
            <w:webHidden/>
          </w:rPr>
          <w:tab/>
        </w:r>
        <w:r w:rsidR="0051231F">
          <w:rPr>
            <w:noProof/>
            <w:webHidden/>
          </w:rPr>
          <w:fldChar w:fldCharType="begin"/>
        </w:r>
        <w:r w:rsidR="0051231F">
          <w:rPr>
            <w:noProof/>
            <w:webHidden/>
          </w:rPr>
          <w:instrText xml:space="preserve"> PAGEREF _Toc243225203 \h </w:instrText>
        </w:r>
        <w:r w:rsidR="0051231F">
          <w:rPr>
            <w:noProof/>
            <w:webHidden/>
          </w:rPr>
        </w:r>
        <w:r w:rsidR="0051231F">
          <w:rPr>
            <w:noProof/>
            <w:webHidden/>
          </w:rPr>
          <w:fldChar w:fldCharType="separate"/>
        </w:r>
        <w:r w:rsidR="0051231F">
          <w:rPr>
            <w:noProof/>
            <w:webHidden/>
          </w:rPr>
          <w:t>10</w:t>
        </w:r>
        <w:r w:rsidR="0051231F">
          <w:rPr>
            <w:noProof/>
            <w:webHidden/>
          </w:rPr>
          <w:fldChar w:fldCharType="end"/>
        </w:r>
      </w:hyperlink>
    </w:p>
    <w:p w:rsidR="0051231F" w:rsidRDefault="00EA7C7C">
      <w:pPr>
        <w:pStyle w:val="14"/>
        <w:tabs>
          <w:tab w:val="right" w:leader="dot" w:pos="9679"/>
        </w:tabs>
        <w:rPr>
          <w:noProof/>
        </w:rPr>
      </w:pPr>
      <w:hyperlink w:anchor="_Toc243225204" w:history="1">
        <w:r w:rsidR="0051231F" w:rsidRPr="00177E48">
          <w:rPr>
            <w:rStyle w:val="aff8"/>
            <w:rFonts w:eastAsiaTheme="majorEastAsia"/>
            <w:noProof/>
          </w:rPr>
          <w:t>Глава 5. Информирование, мотивация и взаимодействие с родителями и спортивными организациями</w:t>
        </w:r>
        <w:r w:rsidR="0051231F">
          <w:rPr>
            <w:noProof/>
            <w:webHidden/>
          </w:rPr>
          <w:tab/>
        </w:r>
        <w:r w:rsidR="0051231F">
          <w:rPr>
            <w:noProof/>
            <w:webHidden/>
          </w:rPr>
          <w:fldChar w:fldCharType="begin"/>
        </w:r>
        <w:r w:rsidR="0051231F">
          <w:rPr>
            <w:noProof/>
            <w:webHidden/>
          </w:rPr>
          <w:instrText xml:space="preserve"> PAGEREF _Toc243225204 \h </w:instrText>
        </w:r>
        <w:r w:rsidR="0051231F">
          <w:rPr>
            <w:noProof/>
            <w:webHidden/>
          </w:rPr>
        </w:r>
        <w:r w:rsidR="0051231F">
          <w:rPr>
            <w:noProof/>
            <w:webHidden/>
          </w:rPr>
          <w:fldChar w:fldCharType="separate"/>
        </w:r>
        <w:r w:rsidR="0051231F">
          <w:rPr>
            <w:noProof/>
            <w:webHidden/>
          </w:rPr>
          <w:t>12</w:t>
        </w:r>
        <w:r w:rsidR="0051231F">
          <w:rPr>
            <w:noProof/>
            <w:webHidden/>
          </w:rPr>
          <w:fldChar w:fldCharType="end"/>
        </w:r>
      </w:hyperlink>
    </w:p>
    <w:p w:rsidR="0051231F" w:rsidRDefault="00EA7C7C">
      <w:pPr>
        <w:pStyle w:val="14"/>
        <w:tabs>
          <w:tab w:val="right" w:leader="dot" w:pos="9679"/>
        </w:tabs>
        <w:rPr>
          <w:noProof/>
        </w:rPr>
      </w:pPr>
      <w:hyperlink w:anchor="_Toc243225205" w:history="1">
        <w:r w:rsidR="0051231F" w:rsidRPr="00177E48">
          <w:rPr>
            <w:rStyle w:val="aff8"/>
            <w:rFonts w:eastAsiaTheme="majorEastAsia"/>
            <w:noProof/>
          </w:rPr>
          <w:t>Заключение</w:t>
        </w:r>
        <w:r w:rsidR="0051231F">
          <w:rPr>
            <w:noProof/>
            <w:webHidden/>
          </w:rPr>
          <w:tab/>
        </w:r>
        <w:r w:rsidR="0051231F">
          <w:rPr>
            <w:noProof/>
            <w:webHidden/>
          </w:rPr>
          <w:fldChar w:fldCharType="begin"/>
        </w:r>
        <w:r w:rsidR="0051231F">
          <w:rPr>
            <w:noProof/>
            <w:webHidden/>
          </w:rPr>
          <w:instrText xml:space="preserve"> PAGEREF _Toc243225205 \h </w:instrText>
        </w:r>
        <w:r w:rsidR="0051231F">
          <w:rPr>
            <w:noProof/>
            <w:webHidden/>
          </w:rPr>
        </w:r>
        <w:r w:rsidR="0051231F">
          <w:rPr>
            <w:noProof/>
            <w:webHidden/>
          </w:rPr>
          <w:fldChar w:fldCharType="separate"/>
        </w:r>
        <w:r w:rsidR="0051231F">
          <w:rPr>
            <w:noProof/>
            <w:webHidden/>
          </w:rPr>
          <w:t>14</w:t>
        </w:r>
        <w:r w:rsidR="0051231F">
          <w:rPr>
            <w:noProof/>
            <w:webHidden/>
          </w:rPr>
          <w:fldChar w:fldCharType="end"/>
        </w:r>
      </w:hyperlink>
    </w:p>
    <w:p w:rsidR="00DE6564" w:rsidRDefault="00B92693">
      <w:pPr>
        <w:spacing w:after="0"/>
      </w:pPr>
      <w:r>
        <w:fldChar w:fldCharType="end"/>
      </w:r>
    </w:p>
    <w:p w:rsidR="00DE6564" w:rsidRDefault="00B92693">
      <w:r>
        <w:br w:type="page"/>
      </w:r>
      <w:bookmarkStart w:id="0" w:name="_GoBack"/>
      <w:bookmarkEnd w:id="0"/>
    </w:p>
    <w:p w:rsidR="00DE6564" w:rsidRDefault="00B92693">
      <w:pPr>
        <w:pStyle w:val="1"/>
        <w:spacing w:before="240" w:after="160"/>
        <w:jc w:val="center"/>
      </w:pPr>
      <w:bookmarkStart w:id="1" w:name="_Toc243225199"/>
      <w:r>
        <w:rPr>
          <w:rFonts w:cs="Times New Roman"/>
          <w:caps w:val="0"/>
        </w:rPr>
        <w:lastRenderedPageBreak/>
        <w:t>Введение</w:t>
      </w:r>
      <w:bookmarkEnd w:id="1"/>
    </w:p>
    <w:p w:rsidR="00DE6564" w:rsidRDefault="00B92693">
      <w:pPr>
        <w:spacing w:before="120" w:after="120" w:line="360" w:lineRule="auto"/>
        <w:ind w:firstLine="706"/>
        <w:jc w:val="both"/>
      </w:pPr>
      <w:r>
        <w:t>Физическая культура в школе имеет важное значение для здоровья и ра</w:t>
      </w:r>
      <w:r>
        <w:t>з</w:t>
      </w:r>
      <w:r>
        <w:t>вития детей. Одной из ключевых задач современного образования становится формирование привычки к активному образу жизни и регулярным занятиям, к</w:t>
      </w:r>
      <w:r>
        <w:t>о</w:t>
      </w:r>
      <w:r>
        <w:t>торые доступны в условиях школы. В этом контексте внедрение Всероссийск</w:t>
      </w:r>
      <w:r>
        <w:t>о</w:t>
      </w:r>
      <w:r>
        <w:t>го физкультурно-спортивного комплекса «Готов к труду и обороне» рассматривается как способ сделать двигательная активность более системной и понятной для обучающихся.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Актуальность темы связана с тем, что уровень физической подготовле</w:t>
      </w:r>
      <w:r>
        <w:t>н</w:t>
      </w:r>
      <w:r>
        <w:t>ности школьников требует постоянного внимания. Регулярные упражнения и объективная оценка результатов помогают поддерживать мотивацию и позв</w:t>
      </w:r>
      <w:r>
        <w:t>о</w:t>
      </w:r>
      <w:r>
        <w:t>ляют видеть прогресс. Комплекс «ГТО» задаёт общую рамку нормативов и ор</w:t>
      </w:r>
      <w:r>
        <w:t>и</w:t>
      </w:r>
      <w:r>
        <w:t>ентиров, благодаря чему занятия становятся целенаправленнее. В результате повышается роль школьной физкультуры как части общей культуры здоровья.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Внедрение комплекса также способствует укреплению образовательной среды: повышается значимость практических занятий, расширяются возможн</w:t>
      </w:r>
      <w:r>
        <w:t>о</w:t>
      </w:r>
      <w:r>
        <w:t>сти участия школьников в спортивной деятельности и соревнованиях. При гр</w:t>
      </w:r>
      <w:r>
        <w:t>а</w:t>
      </w:r>
      <w:r>
        <w:t>мотной организации комплекс может быть интегрирован в учебный процесс так, чтобы требования были достижимыми, а подготовка вызывала интерес. Таким образом, обращение к комплексу «ГТО» отвечает потребности современного школьного образования в развитии физических качеств и воспитании отве</w:t>
      </w:r>
      <w:r>
        <w:t>т</w:t>
      </w:r>
      <w:r>
        <w:t>ственности за собственное здоровье.</w:t>
      </w:r>
    </w:p>
    <w:p w:rsidR="00DE6564" w:rsidRDefault="00B92693">
      <w:r>
        <w:br w:type="page"/>
      </w:r>
    </w:p>
    <w:p w:rsidR="00DE6564" w:rsidRDefault="00B92693">
      <w:pPr>
        <w:pStyle w:val="1"/>
        <w:spacing w:before="240" w:after="160"/>
        <w:jc w:val="center"/>
      </w:pPr>
      <w:bookmarkStart w:id="2" w:name="_Toc243225200"/>
      <w:r>
        <w:rPr>
          <w:rFonts w:cs="Times New Roman"/>
          <w:caps w:val="0"/>
        </w:rPr>
        <w:lastRenderedPageBreak/>
        <w:t>Глава 1. Нормативная база и требования ВФСК «ГТО» для школ</w:t>
      </w:r>
      <w:bookmarkEnd w:id="2"/>
    </w:p>
    <w:p w:rsidR="00DE6564" w:rsidRDefault="00B92693">
      <w:pPr>
        <w:spacing w:before="120" w:after="120" w:line="360" w:lineRule="auto"/>
        <w:ind w:firstLine="706"/>
        <w:jc w:val="both"/>
      </w:pPr>
      <w:r>
        <w:t>Всероссийский физкультурно-спортивный комплекс «Готов к труду и обороне» действует на основании государственной нормативной базы. Ключ</w:t>
      </w:r>
      <w:r>
        <w:t>е</w:t>
      </w:r>
      <w:r>
        <w:t>вым документом для его введения стал Указ Президента Российской Федерации от 24 марта 2014 года № 172. Комплекс официально начали применять с 1 се</w:t>
      </w:r>
      <w:r>
        <w:t>н</w:t>
      </w:r>
      <w:r>
        <w:t>тября 2014 года. Это решение закрепило общие правила развития физической подготовки граждан, в том числе школьников [1]. Положение о комплексе утверждено постановлением Правительства Российской Федерации от 11 июня 2014 года № 540. Государственные требования к выполнению испытаний уст</w:t>
      </w:r>
      <w:r>
        <w:t>а</w:t>
      </w:r>
      <w:r>
        <w:t>навливаются отдельными документами Министерства спорта России и могут обновляться.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Для школ нормативная база определяет, кто может участвовать в ГТО, как организуется выполнение испытаний и по каким правилам засчитываются р</w:t>
      </w:r>
      <w:r>
        <w:t>е</w:t>
      </w:r>
      <w:r>
        <w:t>зультаты. Комплекс рассчитан на возрастные группы от 6 до 70 лет и старше. Для школьников предусмотрены возрастные ступени, поэтому требования соо</w:t>
      </w:r>
      <w:r>
        <w:t>т</w:t>
      </w:r>
      <w:r>
        <w:t>носятся с возрастом участника, а не устанавливаются одинаковыми для всех учащихся. Нормативы имеют три уровня сложности: на бронзовый, серебряный и золотой знаки отличия [1]. Такая система позволяет оценивать результаты с учётом разных уровней физической подготовленности.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Участие школьника в выполнении нормативов не означает, что требов</w:t>
      </w:r>
      <w:r>
        <w:t>а</w:t>
      </w:r>
      <w:r>
        <w:t>ния должны быть одинаково доступны каждому без учёта состояния здоровья. В образовательной организации важно принимать во внимание медицинские ограничения и рекомендации специалистов. В приведённых данных 90% уч</w:t>
      </w:r>
      <w:r>
        <w:t>а</w:t>
      </w:r>
      <w:r>
        <w:t>щихся, кроме освобождённых после болезни и школьников, отнесённых к сп</w:t>
      </w:r>
      <w:r>
        <w:t>е</w:t>
      </w:r>
      <w:r>
        <w:t xml:space="preserve">циальной медицинской группе, участвовали в сдаче норм. Золотой знак получили 29%, серебряный — 53% участников [1]. Эти показатели показывают </w:t>
      </w:r>
      <w:r>
        <w:lastRenderedPageBreak/>
        <w:t>высокий охват, но одновременно подчёркивают необходимость учитывать зд</w:t>
      </w:r>
      <w:r>
        <w:t>о</w:t>
      </w:r>
      <w:r>
        <w:t>ровье и индивидуальные возможности детей.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Для включения ГТО в школьную практику важны не только отдельные испытания, но и связь комплекса с обязательными занятиями физической кул</w:t>
      </w:r>
      <w:r>
        <w:t>ь</w:t>
      </w:r>
      <w:r>
        <w:t>турой. Анализ недельной двигательной активности учащихся третьей ступени показал, что наиболее заметный вклад в неё дают именно обязательные учебные занятия в образовательных организациях [2]. Следовательно, школа выступает не только местом проведения тестирования: учебный процесс помогает подде</w:t>
      </w:r>
      <w:r>
        <w:t>р</w:t>
      </w:r>
      <w:r>
        <w:t>живать регулярную физическую активность и выполнять требования комплекса. При этом нормативы ГТО не должны подменять образовательную программу, а их применение должно согласовываться с задачами и правилами школьного обучения.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Нормативная основа также задаёт общие рамки ответственности школы: необходимо организовать участие учащихся с соблюдением установленных требований, учитывать медицинские допуски и обеспечивать корректную фи</w:t>
      </w:r>
      <w:r>
        <w:t>к</w:t>
      </w:r>
      <w:r>
        <w:t>сацию результатов. Единые государственные правила помогают сравнивать д</w:t>
      </w:r>
      <w:r>
        <w:t>о</w:t>
      </w:r>
      <w:r>
        <w:t>стижения участников одной возрастной ступени и присваивать знаки отличия по установленным критериям. Поэтому внедрение ГТО в школе должно оп</w:t>
      </w:r>
      <w:r>
        <w:t>и</w:t>
      </w:r>
      <w:r>
        <w:t>раться одновременно на федеральные требования, возрастные особенности учащихся и ограничения по состоянию здоровья.</w:t>
      </w:r>
    </w:p>
    <w:p w:rsidR="00DE6564" w:rsidRDefault="00B92693">
      <w:r>
        <w:br w:type="page"/>
      </w:r>
    </w:p>
    <w:p w:rsidR="00DE6564" w:rsidRDefault="00B92693">
      <w:pPr>
        <w:pStyle w:val="1"/>
        <w:spacing w:before="240" w:after="160"/>
        <w:jc w:val="center"/>
      </w:pPr>
      <w:bookmarkStart w:id="3" w:name="_Toc243225201"/>
      <w:r>
        <w:rPr>
          <w:rFonts w:cs="Times New Roman"/>
          <w:caps w:val="0"/>
        </w:rPr>
        <w:lastRenderedPageBreak/>
        <w:t>Глава 2. Планирование учебных занятий: виды упражнений и распределение по четвертям</w:t>
      </w:r>
      <w:bookmarkEnd w:id="3"/>
    </w:p>
    <w:p w:rsidR="00DE6564" w:rsidRDefault="00B92693">
      <w:pPr>
        <w:spacing w:before="120" w:after="120" w:line="360" w:lineRule="auto"/>
        <w:ind w:firstLine="706"/>
        <w:jc w:val="both"/>
      </w:pPr>
      <w:r>
        <w:t>Планирование занятий, связанных с подготовкой к выполнению нормат</w:t>
      </w:r>
      <w:r>
        <w:t>и</w:t>
      </w:r>
      <w:r>
        <w:t>вов ГТО, требует равномерно развивать разные физические качества. Нельзя посвящать весь учебный период только бегу или силовым упражнениям: такая схема оставит без внимания гибкость, координацию и скоростные способности. В занятиях полезно сочетать упражнения на выносливость, силу, быстроту, ги</w:t>
      </w:r>
      <w:r>
        <w:t>б</w:t>
      </w:r>
      <w:r>
        <w:t>кость и ловкость, меняя их последовательность и нагрузку. Это помогает подг</w:t>
      </w:r>
      <w:r>
        <w:t>о</w:t>
      </w:r>
      <w:r>
        <w:t>товить учащихся к разным видам испытаний и поддерживать общую физическую подготовленность.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Для распределения упражнений по четвертям можно учитывать сезон и условия занятий. В первой четверти, пока позволяет погода, основное внимание уделяется бегу на короткие и средние дистанции, эстафетам, прыжкам в длину с места и подвижным играм. Осенью удобно проводить занятия на школьном ст</w:t>
      </w:r>
      <w:r>
        <w:t>а</w:t>
      </w:r>
      <w:r>
        <w:t>дионе: пространство позволяет отрабатывать старт, ускорение и правильное распределение сил на дистанции. Упражнения на гибкость и общую разминку включаются в каждое занятие, а силовую нагрузку увеличивают постепенно.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Во второй четверти часть занятий переносится в спортивный зал. Здесь можно выполнять упражнения с собственным весом: приседания, отжимания, подъёмы туловища, висы и упражнения для мышц корпуса. Для развития коо</w:t>
      </w:r>
      <w:r>
        <w:t>р</w:t>
      </w:r>
      <w:r>
        <w:t>динации подходят прыжки через скакалку, упражнения на равновесие и коро</w:t>
      </w:r>
      <w:r>
        <w:t>т</w:t>
      </w:r>
      <w:r>
        <w:t>кие эстафеты. Бег на выносливость зимой заменяют доступными в помещении нагрузками, например сериями упражнений, которые чередуют работу и отдых. Такой подход сохраняет регулярность занятий, даже если беговая дорожка н</w:t>
      </w:r>
      <w:r>
        <w:t>е</w:t>
      </w:r>
      <w:r>
        <w:t>доступна.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В третьей четверти в план включают игровые упражнения, гимнастику, растяжку и силовые комплексы. Нагрузку следует распределять так, чтобы п</w:t>
      </w:r>
      <w:r>
        <w:t>о</w:t>
      </w:r>
      <w:r>
        <w:lastRenderedPageBreak/>
        <w:t>сле интенсивной работы на скорость или силу шли более спокойные задания. Это снижает утомление и позволяет сохранять правильную технику. Важно предусмотреть варианты упражнений разной сложности: например, менять чи</w:t>
      </w:r>
      <w:r>
        <w:t>с</w:t>
      </w:r>
      <w:r>
        <w:t>ло повторений или длительность выполнения. При этом учащиеся работают над общими физическими качествами, а не только над отдельным результатом.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В четвёртой четверти занятия снова чаще проходят на открытом воздухе. Можно повторять бег, прыжки, метания и эстафеты, постепенно соединяя осв</w:t>
      </w:r>
      <w:r>
        <w:t>о</w:t>
      </w:r>
      <w:r>
        <w:t>енные упражнения в тренировочные комплексы. В начале четверти полезно уделить время технике, а ближе к завершению учебного года — повторению з</w:t>
      </w:r>
      <w:r>
        <w:t>а</w:t>
      </w:r>
      <w:r>
        <w:t>даний и контролю самочувствия после нагрузки. Между интенсивными занят</w:t>
      </w:r>
      <w:r>
        <w:t>и</w:t>
      </w:r>
      <w:r>
        <w:t>ями следует оставлять время для восстановления. Распределение упражнений не должно быть одинаковым для всех: его корректируют с учётом возраста, уровня подготовленности и условий школы.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Планирование связано с задачей укрепления здоровья и развития школ</w:t>
      </w:r>
      <w:r>
        <w:t>ь</w:t>
      </w:r>
      <w:r>
        <w:t>ного физического воспитания, закреплённой в целях комплекса ГТО [3]. При этом подготовка к нормативам может сочетаться с воспитательными и турис</w:t>
      </w:r>
      <w:r>
        <w:t>т</w:t>
      </w:r>
      <w:r>
        <w:t>ско-краеведческими занятиями, если они соответствуют учебному плану и во</w:t>
      </w:r>
      <w:r>
        <w:t>з</w:t>
      </w:r>
      <w:r>
        <w:t>можностям школы [4]. Четырёхчетвертная схема позволяет чередовать упражнения по сезонам, регулярно развивать разные физические качества и п</w:t>
      </w:r>
      <w:r>
        <w:t>о</w:t>
      </w:r>
      <w:r>
        <w:t>степенно переходить от освоения техники к выполнению более сложных зад</w:t>
      </w:r>
      <w:r>
        <w:t>а</w:t>
      </w:r>
      <w:r>
        <w:t>ний.</w:t>
      </w:r>
    </w:p>
    <w:p w:rsidR="00DE6564" w:rsidRDefault="00B92693">
      <w:r>
        <w:br w:type="page"/>
      </w:r>
    </w:p>
    <w:p w:rsidR="00DE6564" w:rsidRDefault="00B92693">
      <w:pPr>
        <w:pStyle w:val="1"/>
        <w:spacing w:before="240" w:after="160"/>
        <w:jc w:val="center"/>
      </w:pPr>
      <w:bookmarkStart w:id="4" w:name="_Toc243225202"/>
      <w:r>
        <w:rPr>
          <w:rFonts w:cs="Times New Roman"/>
          <w:caps w:val="0"/>
        </w:rPr>
        <w:lastRenderedPageBreak/>
        <w:t>Глава 3. Подготовка учащихся: тренировочные программы по возрастным ступеням</w:t>
      </w:r>
      <w:bookmarkEnd w:id="4"/>
    </w:p>
    <w:p w:rsidR="00DE6564" w:rsidRDefault="00B92693">
      <w:pPr>
        <w:spacing w:before="120" w:after="120" w:line="360" w:lineRule="auto"/>
        <w:ind w:firstLine="706"/>
        <w:jc w:val="both"/>
      </w:pPr>
      <w:r>
        <w:t>Подготовка к испытаниям ГТО должна строиться с учётом возраста, ф</w:t>
      </w:r>
      <w:r>
        <w:t>и</w:t>
      </w:r>
      <w:r>
        <w:t>зического развития и состояния здоровья школьников. Одинаковые упражнения и нагрузка не подходят детям разных возрастов: младшим важнее освоить пр</w:t>
      </w:r>
      <w:r>
        <w:t>а</w:t>
      </w:r>
      <w:r>
        <w:t>вильные движения и развить общую координацию, а подросткам можно пост</w:t>
      </w:r>
      <w:r>
        <w:t>е</w:t>
      </w:r>
      <w:r>
        <w:t>пенно увеличивать объём силовой и скоростной работы. Цель тренировок — не только выполнить норматив, но и укрепить здоровье, не допуская чрезмерного утомления.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В требованиях ГТО выделены возрастные ступени с обязательными исп</w:t>
      </w:r>
      <w:r>
        <w:t>ы</w:t>
      </w:r>
      <w:r>
        <w:t>таниями и испытаниями по выбору. Для первой ступени предусмотрены дети 6–7 лет. Недельная двигательная активность для первой–третьей ступеней должна составлять не менее 9 часов, а для четвёртой–пятой — не менее 10 часов [5]. Эти значения включают разнообразные занятия физической активностью, а не только специальные тренировки для сдачи нормативов. При составлении пр</w:t>
      </w:r>
      <w:r>
        <w:t>о</w:t>
      </w:r>
      <w:r>
        <w:t>граммы школе важно учитывать уроки физкультуры, занятия в спортивных се</w:t>
      </w:r>
      <w:r>
        <w:t>к</w:t>
      </w:r>
      <w:r>
        <w:t>циях и активность ребёнка вне школы.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Для детей 6–7 лет подготовка должна проходить в игровой форме. Подо</w:t>
      </w:r>
      <w:r>
        <w:t>й</w:t>
      </w:r>
      <w:r>
        <w:t>дут эстафеты, прыжки через линии, метание лёгких предметов, упражнения на равновесие и короткие пробежки. Такие задания развивают ловкость, быстроту и основные двигательные навыки, необходимые для выполнения тестов. Нагрузка должна быть непродолжительной, а упражнения — часто сменяться, чтобы ребёнок сохранял интерес и не уставал. Важно объяснять технику пр</w:t>
      </w:r>
      <w:r>
        <w:t>о</w:t>
      </w:r>
      <w:r>
        <w:t>стыми словами и показывать движение на собственном примере.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Учащимся младшего школьного возраста можно предлагать более сист</w:t>
      </w:r>
      <w:r>
        <w:t>е</w:t>
      </w:r>
      <w:r>
        <w:t>матические занятия: бег на короткие дистанции, прыжки, упражнения с со</w:t>
      </w:r>
      <w:r>
        <w:t>б</w:t>
      </w:r>
      <w:r>
        <w:t xml:space="preserve">ственным весом и подвижные игры на выносливость. Сначала отрабатывается </w:t>
      </w:r>
      <w:r>
        <w:lastRenderedPageBreak/>
        <w:t>техника, затем постепенно увеличивается число повторений или продолжител</w:t>
      </w:r>
      <w:r>
        <w:t>ь</w:t>
      </w:r>
      <w:r>
        <w:t>ность упражнения. Например, при подготовке к бегу полезно чередовать коро</w:t>
      </w:r>
      <w:r>
        <w:t>т</w:t>
      </w:r>
      <w:r>
        <w:t>кие ускорения с ходьбой, а не сразу требовать длительного бега на предельной скорости. Для развития силы можно использовать приседания, подъёмы тул</w:t>
      </w:r>
      <w:r>
        <w:t>о</w:t>
      </w:r>
      <w:r>
        <w:t>вища и отжимания в доступном варианте, следя за правильным положением т</w:t>
      </w:r>
      <w:r>
        <w:t>е</w:t>
      </w:r>
      <w:r>
        <w:t>ла.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В средней школе тренировочную программу следует расширять за счёт упражнений на силу, выносливость и гибкость. Подросткам подходят инте</w:t>
      </w:r>
      <w:r>
        <w:t>р</w:t>
      </w:r>
      <w:r>
        <w:t>вальный бег, плавное увеличение дистанции, прыжковые упражнения и силовые задания с собственным весом. При этом нагрузку нужно повышать постепенно: сначала совершенствовать технику, затем увеличивать число подходов или п</w:t>
      </w:r>
      <w:r>
        <w:t>о</w:t>
      </w:r>
      <w:r>
        <w:t>вторений. Полезно чередовать интенсивные занятия с более лёгкими, чтобы о</w:t>
      </w:r>
      <w:r>
        <w:t>р</w:t>
      </w:r>
      <w:r>
        <w:t>ганизм успевал восстановиться. Для старшеклассников программа может включать индивидуальный выбор упражнений, соответствующих сильным ст</w:t>
      </w:r>
      <w:r>
        <w:t>о</w:t>
      </w:r>
      <w:r>
        <w:t>ронам и подготовке ученика.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План тренировок должен учитывать различия в физическом развитии д</w:t>
      </w:r>
      <w:r>
        <w:t>е</w:t>
      </w:r>
      <w:r>
        <w:t>тей одного возраста. Учитель может предлагать несколько вариантов сложности одного задания: например, разные дистанции бега или облегчённый вариант с</w:t>
      </w:r>
      <w:r>
        <w:t>и</w:t>
      </w:r>
      <w:r>
        <w:t>лового упражнения. При боли, головокружении или необычной одышке занятие следует прекратить и сообщить взрослому. Такая возрастная и индивидуальная настройка помогает школьникам готовиться к испытаниям последовательно, безопасно и без стремления достигнуть результата любой ценой.</w:t>
      </w:r>
    </w:p>
    <w:p w:rsidR="00DE6564" w:rsidRDefault="00B92693">
      <w:r>
        <w:br w:type="page"/>
      </w:r>
    </w:p>
    <w:p w:rsidR="00DE6564" w:rsidRDefault="00B92693">
      <w:pPr>
        <w:pStyle w:val="1"/>
        <w:spacing w:before="240" w:after="160"/>
        <w:jc w:val="center"/>
      </w:pPr>
      <w:bookmarkStart w:id="5" w:name="_Toc243225203"/>
      <w:r>
        <w:rPr>
          <w:rFonts w:cs="Times New Roman"/>
          <w:caps w:val="0"/>
        </w:rPr>
        <w:lastRenderedPageBreak/>
        <w:t>Глава 4. Организация тестирования и оценивание результатов</w:t>
      </w:r>
      <w:bookmarkEnd w:id="5"/>
    </w:p>
    <w:p w:rsidR="00DE6564" w:rsidRDefault="00B92693">
      <w:pPr>
        <w:spacing w:before="120" w:after="120" w:line="360" w:lineRule="auto"/>
        <w:ind w:firstLine="706"/>
        <w:jc w:val="both"/>
      </w:pPr>
      <w:r>
        <w:t>Организация тестирования ГТО в школе должна обеспечивать единые условия для всех участников и точную фиксацию результатов. Перед испытан</w:t>
      </w:r>
      <w:r>
        <w:t>и</w:t>
      </w:r>
      <w:r>
        <w:t>ями необходимо составить расписание, определить места проведения и назн</w:t>
      </w:r>
      <w:r>
        <w:t>а</w:t>
      </w:r>
      <w:r>
        <w:t>чить ответственных за регистрацию, судейство и безопасность. Участникам сообщают порядок выполнения каждого теста и критерии зачёта. Испытания проводят на подготовленных площадках и оборудовании; при необходимости измерения и результаты перепроверяют, чтобы снизить риск ошибок.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Тестирование лучше распределять по времени так, чтобы учащиеся пр</w:t>
      </w:r>
      <w:r>
        <w:t>о</w:t>
      </w:r>
      <w:r>
        <w:t>ходили испытания без чрезмерного ожидания и утомления. Для каждого учас</w:t>
      </w:r>
      <w:r>
        <w:t>т</w:t>
      </w:r>
      <w:r>
        <w:t>ника фиксируют личные данные, возрастную ступень, выбранные испытания и полученные показатели. Важно записывать результат сразу после выполнения, указывая единицы измерения и, если это предусмотрено правилами, число п</w:t>
      </w:r>
      <w:r>
        <w:t>о</w:t>
      </w:r>
      <w:r>
        <w:t>пыток. Такая фиксация помогает избежать путаницы между участниками и по</w:t>
      </w:r>
      <w:r>
        <w:t>з</w:t>
      </w:r>
      <w:r>
        <w:t>воляет подтвердить итоговые данные.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Оценивание проводят по государственным требованиям, соответству</w:t>
      </w:r>
      <w:r>
        <w:t>ю</w:t>
      </w:r>
      <w:r>
        <w:t>щим возрастной ступени и полу участника. Каждый результат сравнивают с установленным нормативом: по отдельным испытаниям определяется, выпо</w:t>
      </w:r>
      <w:r>
        <w:t>л</w:t>
      </w:r>
      <w:r>
        <w:t>нен ли необходимый уровень. Итоговый знак отличия присваивается не за один удачный показатель, а при выполнении условий для соответствующего уровня комплекса. Поэтому школе важно проверять не только отдельные результаты, но и полноту набора испытаний, необходимых для зачёта.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После завершения тестирования ответственные лица проверяют записи, сводят результаты и передают их для оформления в установленном порядке. Учащимся следует сообщить, какие испытания зачтены, а где результат не д</w:t>
      </w:r>
      <w:r>
        <w:t>о</w:t>
      </w:r>
      <w:r>
        <w:t>стиг норматива. Если обнаружена ошибка в записи или измерении, её необх</w:t>
      </w:r>
      <w:r>
        <w:t>о</w:t>
      </w:r>
      <w:r>
        <w:t xml:space="preserve">димо исправить на основании подтверждённых данных, а не предположений. </w:t>
      </w:r>
      <w:r>
        <w:lastRenderedPageBreak/>
        <w:t>При несогласии с результатом участнику нужно разъяснить порядок его пр</w:t>
      </w:r>
      <w:r>
        <w:t>о</w:t>
      </w:r>
      <w:r>
        <w:t>верки. Понятная процедура делает оценивание более справедливым и помогает избежать спорных ситуаций.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План поэтапного внедрения комплекса ГТО утверждён распоряжением Правительства РФ от 30 июня 2014 года № 1165-р. Он предусматривает орган</w:t>
      </w:r>
      <w:r>
        <w:t>и</w:t>
      </w:r>
      <w:r>
        <w:t>зационно-экспериментальный этап, внедрение комплекса среди обучающихся всех образовательных организаций, повсеместное внедрение и реализацию ср</w:t>
      </w:r>
      <w:r>
        <w:t>е</w:t>
      </w:r>
      <w:r>
        <w:t>ди всех категорий населения. В план вносились изменения распоряжениями Правительства РФ от 24 ноября 2015 года № 2389-р и от 24 августа 2017 года № 1813-р, а также постановлением Правительства РФ от 7 сентября 2023 года № 1455 [6]. Для школы это означает, что тестирование должно быть не разовой а</w:t>
      </w:r>
      <w:r>
        <w:t>к</w:t>
      </w:r>
      <w:r>
        <w:t>цией, а частью организованной системы учёта результатов. Регулярная проверка документов, соблюдение единых правил и своевременная передача сведений позволяют объективно оценивать выполнение нормативов и подтверждать д</w:t>
      </w:r>
      <w:r>
        <w:t>о</w:t>
      </w:r>
      <w:r>
        <w:t>стижения учащихся.</w:t>
      </w:r>
    </w:p>
    <w:p w:rsidR="00DE6564" w:rsidRDefault="00B92693">
      <w:r>
        <w:br w:type="page"/>
      </w:r>
    </w:p>
    <w:p w:rsidR="00DE6564" w:rsidRDefault="00B92693">
      <w:pPr>
        <w:pStyle w:val="1"/>
        <w:spacing w:before="240" w:after="160"/>
        <w:jc w:val="center"/>
      </w:pPr>
      <w:bookmarkStart w:id="6" w:name="_Toc243225204"/>
      <w:r>
        <w:rPr>
          <w:rFonts w:cs="Times New Roman"/>
          <w:caps w:val="0"/>
        </w:rPr>
        <w:lastRenderedPageBreak/>
        <w:t>Глава 5. Информирование, мотивация и взаимодействие с родителями и спортивными организациями</w:t>
      </w:r>
      <w:bookmarkEnd w:id="6"/>
    </w:p>
    <w:p w:rsidR="00DE6564" w:rsidRDefault="00B92693">
      <w:pPr>
        <w:spacing w:before="120" w:after="120" w:line="360" w:lineRule="auto"/>
        <w:ind w:firstLine="706"/>
        <w:jc w:val="both"/>
      </w:pPr>
      <w:r>
        <w:t>Информирование помогает школьникам и их родителям понять, зачем проводятся мероприятия ГТО и как в них участвовать. Одного объявления о т</w:t>
      </w:r>
      <w:r>
        <w:t>е</w:t>
      </w:r>
      <w:r>
        <w:t>стировании недостаточно: важно заранее сообщить, где получить сведения о комплексе, как записаться на испытания и к кому обратиться с вопросами. Для этого школа может использовать электронный дневник, сайт, родительские с</w:t>
      </w:r>
      <w:r>
        <w:t>о</w:t>
      </w:r>
      <w:r>
        <w:t>брания и информационные стенды. Краткие сообщения удобны для напомин</w:t>
      </w:r>
      <w:r>
        <w:t>а</w:t>
      </w:r>
      <w:r>
        <w:t>ний, а личная беседа позволяет обсудить индивидуальные затруднения.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Родителям следует объяснить, что участие ребёнка в подготовке и выпо</w:t>
      </w:r>
      <w:r>
        <w:t>л</w:t>
      </w:r>
      <w:r>
        <w:t>нении нормативов должно проходить с учётом состояния здоровья и медици</w:t>
      </w:r>
      <w:r>
        <w:t>н</w:t>
      </w:r>
      <w:r>
        <w:t>ского допуска. Методические рекомендации 2023 года связывают допуск к подготовке и испытаниям с порядком медицинских осмотров, установленным приказом Минздрава России от 23.10.2020 № 1144н [7]. Поэтому школа может заранее сообщать семьям, какие медицинские документы нужны и к кому обр</w:t>
      </w:r>
      <w:r>
        <w:t>а</w:t>
      </w:r>
      <w:r>
        <w:t>титься за разъяснением. Такая информация снижает риск недопонимания и п</w:t>
      </w:r>
      <w:r>
        <w:t>о</w:t>
      </w:r>
      <w:r>
        <w:t>могает родителям принять обоснованное решение об участии ребёнка.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Мотивация школьников не должна сводиться только к получению знака отличия. Важно показывать личный прогресс: например, отмечать, что ученик стал увереннее выполнять упражнение или с интересом посещает занятия. По</w:t>
      </w:r>
      <w:r>
        <w:t>д</w:t>
      </w:r>
      <w:r>
        <w:t>держать интерес помогают классные спортивные события, рассказы о достиж</w:t>
      </w:r>
      <w:r>
        <w:t>е</w:t>
      </w:r>
      <w:r>
        <w:t>ниях сверстников и семейное участие в физкультурных мероприятиях. При этом сравнение детей между собой может вызвать разочарование, если не учитывать разницу в подготовке и состоянии здоровья. Более полезно подчёркивать усилия и регулярность занятий.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Родители могут поддерживать ребёнка не только словами, но и участием в школьной жизни: помогать узнавать о мероприятиях, посещать открытые зан</w:t>
      </w:r>
      <w:r>
        <w:t>я</w:t>
      </w:r>
      <w:r>
        <w:lastRenderedPageBreak/>
        <w:t>тия и обсуждать с педагогами возникающие вопросы. Обратная связь от семей позволяет школе заметить препятствия для участия — например, нехватку и</w:t>
      </w:r>
      <w:r>
        <w:t>н</w:t>
      </w:r>
      <w:r>
        <w:t>формации или неудобное время события. Ответы на такие вопросы лучше с</w:t>
      </w:r>
      <w:r>
        <w:t>о</w:t>
      </w:r>
      <w:r>
        <w:t>общать всем родителям через доступные каналы, чтобы важные сведения не получали только отдельные семьи.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Для проведения мероприятий школа взаимодействует со спортивными о</w:t>
      </w:r>
      <w:r>
        <w:t>р</w:t>
      </w:r>
      <w:r>
        <w:t>ганизациями и центрами тестирования. Методические рекомендации от 21 июня 2023 года посвящены организации мероприятий по выполнению нормативов ГТО именно в центрах тестирования; порядок тестирования установлен прик</w:t>
      </w:r>
      <w:r>
        <w:t>а</w:t>
      </w:r>
      <w:r>
        <w:t>зом Минспорта России от 28.01.2016 № 54 [7]. Партнёры могут помогать с о</w:t>
      </w:r>
      <w:r>
        <w:t>р</w:t>
      </w:r>
      <w:r>
        <w:t>ганизацией площадки, консультациями и проведением испытаний в установленном порядке. Заранее согласованные даты, распределение обязанн</w:t>
      </w:r>
      <w:r>
        <w:t>о</w:t>
      </w:r>
      <w:r>
        <w:t>стей и порядок передачи информации позволяют избежать путаницы. Такое с</w:t>
      </w:r>
      <w:r>
        <w:t>о</w:t>
      </w:r>
      <w:r>
        <w:t>трудничество делает участие школьников и родителей более понятным, а мероприятия — организованными и доступными.</w:t>
      </w:r>
    </w:p>
    <w:p w:rsidR="00DE6564" w:rsidRDefault="00B92693">
      <w:r>
        <w:br w:type="page"/>
      </w:r>
    </w:p>
    <w:p w:rsidR="00DE6564" w:rsidRDefault="00B92693">
      <w:pPr>
        <w:pStyle w:val="1"/>
        <w:spacing w:before="240" w:after="160"/>
        <w:jc w:val="center"/>
      </w:pPr>
      <w:bookmarkStart w:id="7" w:name="_Toc243225205"/>
      <w:r>
        <w:rPr>
          <w:rFonts w:cs="Times New Roman"/>
          <w:caps w:val="0"/>
        </w:rPr>
        <w:lastRenderedPageBreak/>
        <w:t>Заключение</w:t>
      </w:r>
      <w:bookmarkEnd w:id="7"/>
    </w:p>
    <w:p w:rsidR="00DE6564" w:rsidRDefault="00B92693">
      <w:pPr>
        <w:spacing w:before="120" w:after="120" w:line="360" w:lineRule="auto"/>
        <w:ind w:firstLine="706"/>
        <w:jc w:val="both"/>
      </w:pPr>
      <w:r>
        <w:t>Итоги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Нормативная база ВФСК «ГТО» определяет возрастные ступени, виды испытаний, требования к организации занятий и порядок получения знаков о</w:t>
      </w:r>
      <w:r>
        <w:t>т</w:t>
      </w:r>
      <w:r>
        <w:t>личия. Школе важно учитывать эти требования при составлении программы ф</w:t>
      </w:r>
      <w:r>
        <w:t>и</w:t>
      </w:r>
      <w:r>
        <w:t>зического воспитания и проведении тестирования.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Планирование занятий помогает включать подготовку к нормативам в учебный процесс без резкого увеличения нагрузки. Упражнения следует ра</w:t>
      </w:r>
      <w:r>
        <w:t>с</w:t>
      </w:r>
      <w:r>
        <w:t>пределять по четвертям с учётом сезона, расписания и постепенного развития физических качеств. Например, беговые задания удобнее проводить на откр</w:t>
      </w:r>
      <w:r>
        <w:t>ы</w:t>
      </w:r>
      <w:r>
        <w:t>том воздухе в тёплое время года, а силовые упражнения можно выполнять в спортивном зале.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Подготовка учащихся должна соответствовать их возрастным ступеням и уровню физической подготовленности. Регулярные тренировки по развитию силы, выносливости, гибкости, быстроты и координации помогают безопаснее выполнять испытания и улучшать результаты.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Организованное тестирование требует подходящего места, исправного оборудования, соблюдения правил безопасности и понятных критериев оцен</w:t>
      </w:r>
      <w:r>
        <w:t>и</w:t>
      </w:r>
      <w:r>
        <w:t>вания. Результаты позволяют определить, какие физические качества требуют дополнительной работы.</w:t>
      </w:r>
    </w:p>
    <w:p w:rsidR="00DE6564" w:rsidRDefault="00B92693">
      <w:pPr>
        <w:spacing w:before="120" w:after="120" w:line="360" w:lineRule="auto"/>
        <w:ind w:firstLine="706"/>
        <w:jc w:val="both"/>
      </w:pPr>
      <w:r>
        <w:t>Информирование учащихся и родителей помогает заранее объяснить цели программы, требования и порядок участия. Сотрудничество школы со спорти</w:t>
      </w:r>
      <w:r>
        <w:t>в</w:t>
      </w:r>
      <w:r>
        <w:t>ными организациями расширяет возможности для занятий. В итоге внедрение ГТО становится частью системной работы по укреплению здоровья и развитию физической активности школьников.</w:t>
      </w:r>
    </w:p>
    <w:p w:rsidR="00DE6564" w:rsidRDefault="00DE6564"/>
    <w:sectPr w:rsidR="00DE6564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C7C" w:rsidRDefault="00EA7C7C">
      <w:pPr>
        <w:spacing w:after="0" w:line="240" w:lineRule="auto"/>
      </w:pPr>
      <w:r>
        <w:separator/>
      </w:r>
    </w:p>
  </w:endnote>
  <w:endnote w:type="continuationSeparator" w:id="0">
    <w:p w:rsidR="00EA7C7C" w:rsidRDefault="00EA7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564" w:rsidRDefault="00B92693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9F7CA9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C7C" w:rsidRDefault="00EA7C7C">
      <w:pPr>
        <w:spacing w:after="0" w:line="240" w:lineRule="auto"/>
      </w:pPr>
      <w:r>
        <w:separator/>
      </w:r>
    </w:p>
  </w:footnote>
  <w:footnote w:type="continuationSeparator" w:id="0">
    <w:p w:rsidR="00EA7C7C" w:rsidRDefault="00EA7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onsecutiveHyphenLimit w:val="2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231F"/>
    <w:rsid w:val="009F7CA9"/>
    <w:rsid w:val="00AA1D8D"/>
    <w:rsid w:val="00B47730"/>
    <w:rsid w:val="00B92693"/>
    <w:rsid w:val="00CB0664"/>
    <w:rsid w:val="00DE6564"/>
    <w:rsid w:val="00EA7C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inorBidi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cs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uppressAutoHyphens/>
      <w:spacing w:before="480" w:after="0" w:line="360" w:lineRule="auto"/>
      <w:outlineLvl w:val="0"/>
    </w:pPr>
    <w:rPr>
      <w:rFonts w:cstheme="majorBidi"/>
      <w:b/>
      <w:bCs/>
      <w:caps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uppressAutoHyphens/>
      <w:spacing w:before="200" w:after="0" w:line="360" w:lineRule="auto"/>
      <w:outlineLvl w:val="1"/>
    </w:pPr>
    <w:rPr>
      <w:rFonts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uppressAutoHyphens/>
      <w:spacing w:before="200" w:after="0"/>
      <w:outlineLvl w:val="2"/>
    </w:pPr>
    <w:rPr>
      <w:rFonts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="Times New Roman" w:eastAsia="Times New Roman" w:hAnsi="Times New Roman" w:cstheme="majorBidi"/>
      <w:b/>
      <w:bCs/>
      <w:caps/>
      <w:color w:val="000000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="Times New Roman" w:eastAsia="Times New Roman" w:hAnsi="Times New Roman" w:cstheme="majorBidi"/>
      <w:b/>
      <w:bCs/>
      <w:caps w:val="0"/>
      <w:color w:val="000000"/>
      <w:sz w:val="28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="Times New Roman" w:eastAsia="Times New Roman" w:hAnsi="Times New Roman" w:cstheme="majorBidi"/>
      <w:b/>
      <w:bCs/>
      <w:caps w:val="0"/>
      <w:color w:val="000000"/>
      <w:sz w:val="28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10">
    <w:name w:val="Оглавление 11"/>
    <w:pPr>
      <w:tabs>
        <w:tab w:val="right" w:leader="dot" w:pos="9354"/>
      </w:tabs>
      <w:spacing w:after="0" w:line="360" w:lineRule="auto"/>
    </w:pPr>
    <w:rPr>
      <w:rFonts w:cs="Times New Roman"/>
      <w:color w:val="000000"/>
    </w:rPr>
  </w:style>
  <w:style w:type="paragraph" w:customStyle="1" w:styleId="210">
    <w:name w:val="Оглавление 21"/>
    <w:pPr>
      <w:tabs>
        <w:tab w:val="right" w:leader="dot" w:pos="9354"/>
      </w:tabs>
      <w:spacing w:after="0" w:line="360" w:lineRule="auto"/>
      <w:ind w:left="283"/>
    </w:pPr>
    <w:rPr>
      <w:rFonts w:cs="Times New Roman"/>
      <w:color w:val="000000"/>
    </w:rPr>
  </w:style>
  <w:style w:type="paragraph" w:customStyle="1" w:styleId="310">
    <w:name w:val="Оглавление 31"/>
    <w:pPr>
      <w:tabs>
        <w:tab w:val="right" w:leader="dot" w:pos="9354"/>
      </w:tabs>
      <w:spacing w:after="0" w:line="360" w:lineRule="auto"/>
      <w:ind w:left="567"/>
    </w:pPr>
    <w:rPr>
      <w:rFonts w:cs="Times New Roman"/>
      <w:color w:val="000000"/>
    </w:rPr>
  </w:style>
  <w:style w:type="paragraph" w:styleId="14">
    <w:name w:val="toc 1"/>
    <w:basedOn w:val="a1"/>
    <w:next w:val="a1"/>
    <w:autoRedefine/>
    <w:uiPriority w:val="39"/>
    <w:unhideWhenUsed/>
    <w:rsid w:val="0051231F"/>
    <w:pPr>
      <w:spacing w:after="100"/>
    </w:pPr>
  </w:style>
  <w:style w:type="character" w:styleId="aff8">
    <w:name w:val="Hyperlink"/>
    <w:basedOn w:val="a2"/>
    <w:uiPriority w:val="99"/>
    <w:unhideWhenUsed/>
    <w:rsid w:val="005123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inorBidi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cs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uppressAutoHyphens/>
      <w:spacing w:before="480" w:after="0" w:line="360" w:lineRule="auto"/>
      <w:outlineLvl w:val="0"/>
    </w:pPr>
    <w:rPr>
      <w:rFonts w:cstheme="majorBidi"/>
      <w:b/>
      <w:bCs/>
      <w:caps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uppressAutoHyphens/>
      <w:spacing w:before="200" w:after="0" w:line="360" w:lineRule="auto"/>
      <w:outlineLvl w:val="1"/>
    </w:pPr>
    <w:rPr>
      <w:rFonts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uppressAutoHyphens/>
      <w:spacing w:before="200" w:after="0"/>
      <w:outlineLvl w:val="2"/>
    </w:pPr>
    <w:rPr>
      <w:rFonts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="Times New Roman" w:eastAsia="Times New Roman" w:hAnsi="Times New Roman" w:cstheme="majorBidi"/>
      <w:b/>
      <w:bCs/>
      <w:caps/>
      <w:color w:val="000000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="Times New Roman" w:eastAsia="Times New Roman" w:hAnsi="Times New Roman" w:cstheme="majorBidi"/>
      <w:b/>
      <w:bCs/>
      <w:caps w:val="0"/>
      <w:color w:val="000000"/>
      <w:sz w:val="28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="Times New Roman" w:eastAsia="Times New Roman" w:hAnsi="Times New Roman" w:cstheme="majorBidi"/>
      <w:b/>
      <w:bCs/>
      <w:caps w:val="0"/>
      <w:color w:val="000000"/>
      <w:sz w:val="28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10">
    <w:name w:val="Оглавление 11"/>
    <w:pPr>
      <w:tabs>
        <w:tab w:val="right" w:leader="dot" w:pos="9354"/>
      </w:tabs>
      <w:spacing w:after="0" w:line="360" w:lineRule="auto"/>
    </w:pPr>
    <w:rPr>
      <w:rFonts w:cs="Times New Roman"/>
      <w:color w:val="000000"/>
    </w:rPr>
  </w:style>
  <w:style w:type="paragraph" w:customStyle="1" w:styleId="210">
    <w:name w:val="Оглавление 21"/>
    <w:pPr>
      <w:tabs>
        <w:tab w:val="right" w:leader="dot" w:pos="9354"/>
      </w:tabs>
      <w:spacing w:after="0" w:line="360" w:lineRule="auto"/>
      <w:ind w:left="283"/>
    </w:pPr>
    <w:rPr>
      <w:rFonts w:cs="Times New Roman"/>
      <w:color w:val="000000"/>
    </w:rPr>
  </w:style>
  <w:style w:type="paragraph" w:customStyle="1" w:styleId="310">
    <w:name w:val="Оглавление 31"/>
    <w:pPr>
      <w:tabs>
        <w:tab w:val="right" w:leader="dot" w:pos="9354"/>
      </w:tabs>
      <w:spacing w:after="0" w:line="360" w:lineRule="auto"/>
      <w:ind w:left="567"/>
    </w:pPr>
    <w:rPr>
      <w:rFonts w:cs="Times New Roman"/>
      <w:color w:val="000000"/>
    </w:rPr>
  </w:style>
  <w:style w:type="paragraph" w:styleId="14">
    <w:name w:val="toc 1"/>
    <w:basedOn w:val="a1"/>
    <w:next w:val="a1"/>
    <w:autoRedefine/>
    <w:uiPriority w:val="39"/>
    <w:unhideWhenUsed/>
    <w:rsid w:val="0051231F"/>
    <w:pPr>
      <w:spacing w:after="100"/>
    </w:pPr>
  </w:style>
  <w:style w:type="character" w:styleId="aff8">
    <w:name w:val="Hyperlink"/>
    <w:basedOn w:val="a2"/>
    <w:uiPriority w:val="99"/>
    <w:unhideWhenUsed/>
    <w:rsid w:val="005123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C43E2E-015C-4065-8A2B-B6F297040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2851</Words>
  <Characters>16256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3</cp:revision>
  <dcterms:created xsi:type="dcterms:W3CDTF">2026-10-18T11:21:00Z</dcterms:created>
  <dcterms:modified xsi:type="dcterms:W3CDTF">2026-10-24T13:13:00Z</dcterms:modified>
</cp:coreProperties>
</file>