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witheffects.xml" ContentType="application/vnd.ms-word.stylesWithEffect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body>
    <w:p>
      <w:pPr>
        <w:jc w:val="both"/>
        <w:rPr>
          <w:b/>
          <w:bCs/>
          <w:i w:val="off"/>
          <w:iCs w:val="off"/>
          <w:lang w:val="ru-RU" w:bidi="ru-RU" w:eastAsia="ru-RU"/>
        </w:rPr>
      </w:pPr>
      <w:r>
        <w:rPr>
          <w:b/>
          <w:bCs/>
          <w:i w:val="off"/>
          <w:iCs w:val="off"/>
          <w:lang w:val="ru-RU" w:bidi="ru-RU" w:eastAsia="ru-RU"/>
        </w:rPr>
        <w:t>СИСТЕМА КОРРЕКЦИОННО-ПЕДАГОГИЧЕСКОЙ РАБОТЫ ПО ПРЕОДОЛЕНИЮ РЕЧЕВЫХ НАРУШЕНИЙ У МЛАДШИХ ШКОЛЬНИКОВ В УСЛОВИЯХ ИНКЛЮЗИВНОГО ОБУЧЕНИЯ</w:t>
      </w:r>
    </w:p>
    <w:p>
      <w:pPr>
        <w:jc w:val="both"/>
        <w:rPr>
          <w:b w:val="off"/>
          <w:bCs w:val="off"/>
          <w:i w:val="off"/>
          <w:iCs w:val="off"/>
          <w:lang w:val="ru-RU" w:bidi="ru-RU" w:eastAsia="ru-RU"/>
        </w:rPr>
      </w:pPr>
      <w:r>
        <w:rPr>
          <w:b w:val="off"/>
          <w:bCs w:val="off"/>
          <w:i w:val="off"/>
          <w:iCs w:val="off"/>
          <w:lang w:val="ru-RU" w:bidi="ru-RU" w:eastAsia="ru-RU"/>
        </w:rPr>
        <w:t xml:space="preserve">Борисова Мария Алексеевна </w:t>
      </w:r>
      <w:r>
        <w:rPr>
          <w:b w:val="off"/>
          <w:bCs w:val="off"/>
          <w:i w:val="off"/>
          <w:iCs w:val="off"/>
          <w:lang w:val="ru-RU" w:bidi="ru-RU" w:eastAsia="ru-RU"/>
        </w:rPr>
        <w:t>учитель начальных классов, педагог-дефектолог</w:t>
      </w:r>
    </w:p>
    <w:p>
      <w:pPr>
        <w:jc w:val="both"/>
        <w:rPr>
          <w:b w:val="off"/>
          <w:bCs w:val="off"/>
          <w:i w:val="off"/>
          <w:iCs w:val="off"/>
          <w:lang w:val="ru-RU" w:bidi="ru-RU" w:eastAsia="ru-RU"/>
        </w:rPr>
      </w:pPr>
      <w:r>
        <w:rPr>
          <w:b w:val="off"/>
          <w:bCs w:val="off"/>
          <w:i w:val="off"/>
          <w:iCs w:val="off"/>
          <w:lang w:val="ru-RU" w:bidi="ru-RU" w:eastAsia="ru-RU"/>
        </w:rPr>
        <w:t>МБОУ СОШ № 16, г. Новосибирск</w:t>
      </w:r>
    </w:p>
    <w:p>
      <w:pPr>
        <w:ind w:firstLine="709"/>
        <w:jc w:val="both"/>
        <w:rPr>
          <w:lang w:val="ru-RU" w:bidi="ru-RU" w:eastAsia="ru-RU"/>
        </w:rPr>
      </w:pPr>
      <w:r>
        <w:rPr>
          <w:b/>
          <w:i/>
          <w:lang w:val="ru-RU" w:bidi="ru-RU" w:eastAsia="ru-RU"/>
        </w:rPr>
        <w:t xml:space="preserve">Аннотация. </w:t>
      </w:r>
      <w:r>
        <w:rPr>
          <w:lang w:val="ru-RU" w:bidi="ru-RU" w:eastAsia="ru-RU"/>
        </w:rPr>
        <w:t>В статье представлена система коррекционно-педагогической работы по преодолению нарушений устной и письменной речи у младших школьников в условиях инклюзивного образовательного пространства общеобразовательной школы. Опираясь на положение Л. С. Выготского о речи как звене опосредования психических процессов, автор описывает пять приёмов, применимых на обычном уроке без специального оборудования: речевую разминку, игры на развитие фонематического восприятия, графическую схему слова, мнемотаблицы при пересказе, словарную работу с опорой на существенный признак. Особое внимание уделено принципу единого речевого режима и разграничению полномочий учителя начальных классов и педагога-дефектолога. Приведены примеры из практики автора во 2 классе. Материал будет полезен учителям начальных классов, педагогам-дефектологам и родителям.</w:t>
      </w:r>
    </w:p>
    <w:p>
      <w:pPr>
        <w:ind w:firstLine="709"/>
        <w:jc w:val="both"/>
        <w:rPr>
          <w:lang w:val="ru-RU" w:bidi="ru-RU" w:eastAsia="ru-RU"/>
        </w:rPr>
      </w:pPr>
      <w:r>
        <w:rPr>
          <w:b/>
          <w:i/>
          <w:lang w:val="ru-RU" w:bidi="ru-RU" w:eastAsia="ru-RU"/>
        </w:rPr>
        <w:t xml:space="preserve">Ключевые слова: </w:t>
      </w:r>
      <w:r>
        <w:rPr>
          <w:lang w:val="ru-RU" w:bidi="ru-RU" w:eastAsia="ru-RU"/>
        </w:rPr>
        <w:t>коррекционно-педагогическая работа, нарушения устной и письменной речи, инклюзивное образовательное пространство, фонематическое восприятие, младшие школьники, педагог-дефектолог, единый речевой режим.</w:t>
      </w:r>
    </w:p>
    <w:p>
      <w:pPr>
        <w:jc w:val="both"/>
        <w:rPr>
          <w:lang w:val="ru-RU" w:bidi="ru-RU" w:eastAsia="ru-RU"/>
        </w:rPr>
      </w:pPr>
      <w:r>
        <w:rPr>
          <w:b/>
          <w:i w:val="off"/>
          <w:lang w:val="ru-RU" w:bidi="ru-RU" w:eastAsia="ru-RU"/>
        </w:rPr>
        <w:t>Введение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Рост числа обучающихся с нарушениями устной и письменной речи в общеобразовательных классах — устойчивая тенденция последних лет. Дети с фонематическим недоразвитием, нарушениями звуко-слоговой структуры слова, бедностью словарного запаса учатся рядом с нормативно развивающимися сверстниками, и от качества работы каждого педагога зависит, не закрепятся ли речевые трудности в стойкие проблемы письма и чтения. При этом специальные коррекционные занятия — логопедические, дефектологические — занимают лишь часть учебного времени ребёнка. Основная речевая среда формируется именно на обычном уроке.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В связи с этим возникает практический вопрос: как учитель начальных классов, располагающий только обычными средствами урока, может системно преодолевать речевые трудности обучающихся, не заменяя и не дублируя работу педагога-дефектолога? Цель настоящей статьи — представить целостную систему коррекционно-педагогической работы, построенную на взаимодействии двух специалистов и применимую в условиях обычного урока в инклюзивном классе.</w:t>
      </w:r>
    </w:p>
    <w:p>
      <w:pPr>
        <w:jc w:val="both"/>
        <w:rPr>
          <w:lang w:val="ru-RU" w:bidi="ru-RU" w:eastAsia="ru-RU"/>
        </w:rPr>
      </w:pPr>
      <w:r>
        <w:rPr>
          <w:b/>
          <w:i w:val="off"/>
          <w:lang w:val="ru-RU" w:bidi="ru-RU" w:eastAsia="ru-RU"/>
        </w:rPr>
        <w:t>Теоретические основы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Методологической опорой описываемой системы служит культурно-историческая концепция Л. С. Выготского, в которой речь рассматривается как универсальное средство опосредования психических процессов: недоразвитие речи закономерно отражается на памяти, мышлении и произвольной регуляции ребёнка [1]. Отсюда следует принципиальный вывод: коррекционная работа с речью не может быть сведена к «постановке звуков» — она затрагивает всю учебную деятельность младшего школьника.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Уровневый подход Р. И. Левины позволяет диагностировать, на каком пласте речевой системы локализуется трудность: звукопроизношение, фонематическое восприятие, грамматический строй или связная речь [2]. И. Н. Садовникова и Л. Н. Ефименкова убедительно показали связь несформированности устной речи с дисграфией и дислексией: нарушение фонематического восприятия закономерно проявляется в письме как замены и пропуски букв [3; 4]. Тезис А. Р. Лурии о зависимости произвольного действия от внешней опоры [5] даёт практический инструмент: там, где речевой контроль ребёнка ещё не созрел, ему предлагается зрительная опора — схема, пиктограмма, мнемотаблица.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Нормативным ориентиром выступают ФГОС НОО обучающихся с ограниченными возможностями здоровья и ФГОС начального общего образования, требующие обеспечения специальных образовательных условий и преемственности в формировании универсальных учебных действий [6].</w:t>
      </w:r>
    </w:p>
    <w:p>
      <w:pPr>
        <w:jc w:val="both"/>
        <w:rPr>
          <w:lang w:val="ru-RU" w:bidi="ru-RU" w:eastAsia="ru-RU"/>
        </w:rPr>
      </w:pPr>
      <w:r>
        <w:rPr>
          <w:b/>
          <w:i w:val="off"/>
          <w:lang w:val="ru-RU" w:bidi="ru-RU" w:eastAsia="ru-RU"/>
        </w:rPr>
        <w:t>Приёмы коррекционно-педагогической работы на уроке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Все приёмы объединены единым принципом: опора на зрительную и речевую опору с последующим её снятием. Работа строится не эпизодически, а системно — каждый приём занимает 3–7 минут урока и встроен в обычную структуру занятия.</w:t>
      </w:r>
    </w:p>
    <w:p>
      <w:pPr>
        <w:jc w:val="both"/>
        <w:rPr>
          <w:b w:val="off"/>
          <w:bCs w:val="off"/>
          <w:lang w:val="ru-RU" w:bidi="ru-RU" w:eastAsia="ru-RU"/>
        </w:rPr>
      </w:pPr>
      <w:r>
        <w:rPr>
          <w:b w:val="off"/>
          <w:bCs w:val="off"/>
          <w:i w:val="off"/>
          <w:lang w:val="ru-RU" w:bidi="ru-RU" w:eastAsia="ru-RU"/>
        </w:rPr>
        <w:t xml:space="preserve">Речевая разминка в начале урока. </w:t>
      </w:r>
      <w:r>
        <w:rPr>
          <w:b w:val="off"/>
          <w:bCs w:val="off"/>
          <w:i w:val="off"/>
          <w:lang w:val="ru-RU" w:bidi="ru-RU" w:eastAsia="ru-RU"/>
        </w:rPr>
        <w:t>Первые три минуты урока класс хором или по цепочке проговаривает короткий речевой материал: чистоговорки, скороговорки, словарные слова с составлением словосочетаний. Приём решает сразу три задачи: активизирует артикуляционный аппарат, переключает класс с перемены на учебную деятельность и даёт педагогу-дефектологу материал для наблюдения. Важно, чтобы материал разминки был связан с темой урока</w:t>
      </w:r>
      <w:r>
        <w:rPr>
          <w:b w:val="off"/>
          <w:bCs w:val="off"/>
          <w:i w:val="off"/>
          <w:lang w:val="ru-RU" w:bidi="ru-RU" w:eastAsia="ru-RU"/>
        </w:rPr>
        <w:t>.</w:t>
      </w:r>
    </w:p>
    <w:p>
      <w:pPr>
        <w:jc w:val="both"/>
        <w:rPr>
          <w:b w:val="off"/>
          <w:bCs w:val="off"/>
          <w:lang w:val="ru-RU" w:bidi="ru-RU" w:eastAsia="ru-RU"/>
        </w:rPr>
      </w:pPr>
      <w:r>
        <w:rPr>
          <w:b w:val="off"/>
          <w:bCs w:val="off"/>
          <w:i w:val="off"/>
          <w:lang w:val="ru-RU" w:bidi="ru-RU" w:eastAsia="ru-RU"/>
        </w:rPr>
        <w:t xml:space="preserve">Игры на развитие фонематического восприятия. </w:t>
      </w:r>
      <w:r>
        <w:rPr>
          <w:b w:val="off"/>
          <w:bCs w:val="off"/>
          <w:i w:val="off"/>
          <w:lang w:val="ru-RU" w:bidi="ru-RU" w:eastAsia="ru-RU"/>
        </w:rPr>
        <w:t>Фонематический слух — фундамент письма. На уроке применяются короткие игровые задания: «Поймай звук» (учащиеся поднимают карточку, услышав заданный звук в слове), «Цепочка слов» (каждое следующее слово начинается с последнего звука предыдущего), «Сколько звуков в слове?» с показом счётных фишек. Дети с нарушениями речи при этом получают регулярную, но незаметную для класса тренировку: никто из окружающих не догадывается, что задание адресовано именно им.</w:t>
      </w:r>
    </w:p>
    <w:p>
      <w:pPr>
        <w:jc w:val="both"/>
        <w:rPr>
          <w:b w:val="off"/>
          <w:bCs w:val="off"/>
          <w:lang w:val="ru-RU" w:bidi="ru-RU" w:eastAsia="ru-RU"/>
        </w:rPr>
      </w:pPr>
      <w:r>
        <w:rPr>
          <w:b w:val="off"/>
          <w:bCs w:val="off"/>
          <w:i w:val="off"/>
          <w:lang w:val="ru-RU" w:bidi="ru-RU" w:eastAsia="ru-RU"/>
        </w:rPr>
        <w:t xml:space="preserve">Графическая схема слова. </w:t>
      </w:r>
      <w:r>
        <w:rPr>
          <w:b w:val="off"/>
          <w:bCs w:val="off"/>
          <w:i w:val="off"/>
          <w:lang w:val="ru-RU" w:bidi="ru-RU" w:eastAsia="ru-RU"/>
        </w:rPr>
        <w:t>Перед записью трудного слова или выполнением задания ребёнок выкладывает графическую схему: обозначает фишками слоги, ставит ударение, выделяет орфограмму. Внешняя опора переводит действие из речевого плана в план материализованный — ровно тот путь от внешнего к внутреннему, который описан Л. С. Выготским и А. Р. Лурией. Постепенно фишки сокращаются: сначала убирается обозначение слогов, затем ударения — и ребёнок начинает «производить» схему про себя.</w:t>
      </w:r>
    </w:p>
    <w:p>
      <w:pPr>
        <w:jc w:val="both"/>
        <w:rPr>
          <w:b w:val="off"/>
          <w:bCs w:val="off"/>
          <w:lang w:val="ru-RU" w:bidi="ru-RU" w:eastAsia="ru-RU"/>
        </w:rPr>
      </w:pPr>
      <w:r>
        <w:rPr>
          <w:b w:val="off"/>
          <w:bCs w:val="off"/>
          <w:i w:val="off"/>
          <w:lang w:val="ru-RU" w:bidi="ru-RU" w:eastAsia="ru-RU"/>
        </w:rPr>
        <w:t xml:space="preserve">Мнемотаблицы при пересказе. </w:t>
      </w:r>
      <w:r>
        <w:rPr>
          <w:b w:val="off"/>
          <w:bCs w:val="off"/>
          <w:i w:val="off"/>
          <w:lang w:val="ru-RU" w:bidi="ru-RU" w:eastAsia="ru-RU"/>
        </w:rPr>
        <w:t>Пересказ — самое трудное задание для детей с бедностью словаря и нарушениями связной речи. Мнемотаблица — ряд пиктограмм, последовательно отражающих логику текста, — превращает пересказ из задачи «удержать всё в голове» в задачу «прочитать зрительную опору». Сначала таблица даётся целиком, затем пиктограммы закрываются по одной, пока ребёнок не переходит к самостоятельному пересказу по внутренней программе. Мнемотаблицы может готовить и сам класс: процесс рисования пиктограмм сам по себе работает на осмысление текста.</w:t>
      </w:r>
    </w:p>
    <w:p>
      <w:pPr>
        <w:jc w:val="both"/>
        <w:rPr>
          <w:b w:val="off"/>
          <w:bCs w:val="off"/>
          <w:lang w:val="ru-RU" w:bidi="ru-RU" w:eastAsia="ru-RU"/>
        </w:rPr>
      </w:pPr>
      <w:r>
        <w:rPr>
          <w:b w:val="off"/>
          <w:bCs w:val="off"/>
          <w:i w:val="off"/>
          <w:lang w:val="ru-RU" w:bidi="ru-RU" w:eastAsia="ru-RU"/>
        </w:rPr>
        <w:t xml:space="preserve">Словарная работа с опорой на существенный признак. </w:t>
      </w:r>
      <w:r>
        <w:rPr>
          <w:b w:val="off"/>
          <w:bCs w:val="off"/>
          <w:i w:val="off"/>
          <w:lang w:val="ru-RU" w:bidi="ru-RU" w:eastAsia="ru-RU"/>
        </w:rPr>
        <w:t>Словарные слова заучиваются не списыванием, а через осмысление: слово «берёза» разбирается через признак «берёза — белая, беречь», слово «морковь» — через зрительный образ и признак. Ребёнок с речевым нарушением запоминает слово не как бессмысленный набор букв, а как образ с опорой на признак, что напрямую повышает прочность запоминания и снижает количество ошибок в письме.</w:t>
      </w:r>
    </w:p>
    <w:p>
      <w:pPr>
        <w:jc w:val="both"/>
        <w:rPr>
          <w:lang w:val="ru-RU" w:bidi="ru-RU" w:eastAsia="ru-RU"/>
        </w:rPr>
      </w:pPr>
      <w:r>
        <w:rPr>
          <w:b w:val="off"/>
          <w:bCs w:val="off"/>
          <w:i w:val="off"/>
          <w:lang w:val="ru-RU" w:bidi="ru-RU" w:eastAsia="ru-RU"/>
        </w:rPr>
        <w:t xml:space="preserve">Единый речевой режим как связующее условие. </w:t>
      </w:r>
      <w:r>
        <w:rPr>
          <w:b w:val="off"/>
          <w:bCs w:val="off"/>
          <w:i w:val="off"/>
          <w:lang w:val="ru-RU" w:bidi="ru-RU" w:eastAsia="ru-RU"/>
        </w:rPr>
        <w:t>Перечисленные приёмы работают только в системе, и системность обеспечивает единый речевой режим: единые требования к полному ответу, к форме обращения, к темпу речи на всех уроках и на перемене. Если н</w:t>
      </w:r>
      <w:r>
        <w:rPr>
          <w:b w:val="off"/>
          <w:i w:val="off"/>
          <w:lang w:val="ru-RU" w:bidi="ru-RU" w:eastAsia="ru-RU"/>
        </w:rPr>
        <w:t>а русском языке ребёнка поправляют, а на математике принимают односложный ответ, коррекционный эффект гаснет. Единый речевой режим — это не запрет говорить, а договорённость педагогов класса о норме речевого общения.</w:t>
      </w:r>
    </w:p>
    <w:p>
      <w:pPr>
        <w:jc w:val="both"/>
        <w:rPr>
          <w:lang w:val="ru-RU" w:bidi="ru-RU" w:eastAsia="ru-RU"/>
        </w:rPr>
      </w:pPr>
      <w:r>
        <w:rPr>
          <w:b/>
          <w:i w:val="off"/>
          <w:lang w:val="ru-RU" w:bidi="ru-RU" w:eastAsia="ru-RU"/>
        </w:rPr>
        <w:t>Примеры из практики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Опишу три случая из практики работы со вторым классом. Дети обучаются по адаптированной основной общеобразовательной программе, инклюзивно, в обычном классе.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Ученик 2 класса с нарушением звукопроизношения и трудностями фонематического восприятия на уроках русского языка допускал систематические замены букв, обозначающих парные согласные. После четырёх недель ежедневных «Пятиминуток» на различение звонких и глухих звуков, дополненных графической схемой слова, количество замен в самостоятельном письме сократилось с шести-семи до двух в диктанте объёмом шестьдесят слов. Педагог-дефектолог подтвердила согласованность урочной и коррекционной работы.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Ученица 2 класса с ограниченным словарным запасом отказывалась отвечать у доски, отвечала односложно. Ведущим приёмом стали мнемотаблицы: на пересказе по окружающему миру девочка впервые дала развёрнутый ответ из пяти предложений, опираясь на четыре пиктограммы. Через месяц опора была сокращена вдвое, а к концу второй четверти девочка пересказывала текст без зрительной поддержки.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Ученица 2 класса с трудностями звуко-слоговой структуры слова испытывала затруднения при чтении многосложных слов. Отработка через графическую схему и хоровое проговаривание в составе речевой разминки позволила ей читать многосложные слова без ошибок уже через шесть недель регулярной работы.</w:t>
      </w:r>
    </w:p>
    <w:p>
      <w:pPr>
        <w:jc w:val="both"/>
        <w:rPr>
          <w:lang w:val="ru-RU" w:bidi="ru-RU" w:eastAsia="ru-RU"/>
        </w:rPr>
      </w:pPr>
      <w:r>
        <w:rPr>
          <w:b/>
          <w:i w:val="off"/>
          <w:lang w:val="ru-RU" w:bidi="ru-RU" w:eastAsia="ru-RU"/>
        </w:rPr>
        <w:t>Условия эффективности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Практика позволила сформулировать условия, при которых описанная система даёт результат: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— регулярность: приёмы применяются ежедневно, а не эпизодически; эффект накапливается от недели к неделе;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— согласованность специалистов: учитель и педагог-дефектолог используют единый речевой материал и единые требования; вопрос разграничения полномочий решается на школьном психолого-педагогическом консилиуме;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— постепенное снятие опор: зрительная поддержка убирается поэтапно, только после того, как действие освоено на речевом уровне;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— дозирование нагрузки: короткие, но ежедневные включения эффективнее редких длинных занятий;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— взаимодействие с семьёй: родители получают простые инструкции для закрепления дома, что снимает эффект «забывания» между школой и домом.</w:t>
      </w:r>
    </w:p>
    <w:p>
      <w:pPr>
        <w:jc w:val="both"/>
        <w:rPr>
          <w:lang w:val="ru-RU" w:bidi="ru-RU" w:eastAsia="ru-RU"/>
        </w:rPr>
      </w:pPr>
      <w:r>
        <w:rPr>
          <w:b/>
          <w:i w:val="off"/>
          <w:lang w:val="ru-RU" w:bidi="ru-RU" w:eastAsia="ru-RU"/>
        </w:rPr>
        <w:t>Заключение</w:t>
      </w:r>
    </w:p>
    <w:p>
      <w:pPr>
        <w:ind w:firstLine="709"/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Преодоление нарушений устной и письменной речи у младших школьников в инклюзивном классе не требует специального оборудования — оно требует системы. Пять описанных приёмов, объединённых единым речевым режимом и принципом постепенного снятия опор, позволяют учителю начальных классов и педагогу-дефектологу работать согласованно, не дублируя друг друга. Результаты наблюдений автора показывают, что при соблюдении перечисленных условий первые устойчивые сдвиги появляются уже через месяц регулярной работы.</w:t>
      </w:r>
    </w:p>
    <w:p>
      <w:pPr>
        <w:jc w:val="both"/>
        <w:rPr>
          <w:lang w:val="ru-RU" w:bidi="ru-RU" w:eastAsia="ru-RU"/>
        </w:rPr>
      </w:pPr>
      <w:r>
        <w:rPr>
          <w:b/>
          <w:i w:val="off"/>
          <w:lang w:val="ru-RU" w:bidi="ru-RU" w:eastAsia="ru-RU"/>
        </w:rPr>
        <w:t>Список литературы</w:t>
      </w:r>
    </w:p>
    <w:p>
      <w:pPr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1. Выготский Л. С. Мышление и речь. — М.: Национальное образование, 2016. — 368 с.</w:t>
      </w:r>
    </w:p>
    <w:p>
      <w:pPr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2. Левина Р. Е. Основы теории и практики логопедии. — М.: Альянс, 2014. — 416 с.</w:t>
      </w:r>
    </w:p>
    <w:p>
      <w:pPr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3. Ефименкова Л. Н. Коррекция устной и письменной речи учащихся начальных классов. — М.: Владос, 2014. — 336 с.</w:t>
      </w:r>
    </w:p>
    <w:p>
      <w:pPr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4. Садовникова И. Н. Нарушения письменной речи и их преодоление у младших школьников. — М.: Владос, 2015. — 256 с.</w:t>
      </w:r>
    </w:p>
    <w:p>
      <w:pPr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5. Лурия А. Р. Высшие корковые функции человека и их нарушения при локальных поражениях мозга. — М.: Академический проект, 2015. — 504 с.</w:t>
      </w:r>
    </w:p>
    <w:p>
      <w:pPr>
        <w:jc w:val="both"/>
        <w:rPr>
          <w:lang w:val="ru-RU" w:bidi="ru-RU" w:eastAsia="ru-RU"/>
        </w:rPr>
      </w:pPr>
      <w:r>
        <w:rPr>
          <w:b w:val="off"/>
          <w:i w:val="off"/>
          <w:lang w:val="ru-RU" w:bidi="ru-RU" w:eastAsia="ru-RU"/>
        </w:rPr>
        <w:t>6. Федеральный государственный образовательный стандарт начального общего образования обучающихся с ограниченными возможностями здоровья: приказ Минобрнауки России от 19.12.2014 № 1598.</w:t>
      </w:r>
    </w:p>
    <w:sectPr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auto"/>
    <w:pitch w:val="variable"/>
    <w:sig w:usb0="00000000" w:usb1="400004ff" w:usb2="00000000" w:usb3="00000000" w:csb0="0000019f" w:csb1="00000000"/>
  </w:font>
  <w:font w:name="ＭＳ 明朝">
    <w:panose1 w:val="00000000000000000000"/>
    <w:charset w:val="80"/>
    <w:family w:val="roman"/>
    <w:notTrueType w:val="o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0" w:usb1="4000acff" w:usb2="00000009" w:usb3="00000000" w:csb0="0000019f" w:csb1="00000000"/>
  </w:font>
  <w:font w:name="ＭＳ ゴシック">
    <w:panose1 w:val="00000000000000000000"/>
    <w:charset w:val="80"/>
    <w:family w:val="modern"/>
    <w:notTrueType w:val="on"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singleLevel"/>
    <w:lvl w:ilvl="0" w:tentative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multiLevelType w:val="singleLevel"/>
    <w:lvl w:ilvl="0" w:tentative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multiLevelType w:val="singleLevel"/>
    <w:lvl w:ilvl="0" w:tentative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multiLevelType w:val="singleLevel"/>
    <w:lvl w:ilvl="0" w:tentative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multiLevelType w:val="singleLevel"/>
    <w:lvl w:ilvl="0" w:tentative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multiLevelType w:val="singleLevel"/>
    <w:lvl w:ilvl="0" w:tentative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multiLevelType w:val="singleLevel"/>
    <w:lvl w:ilvl="0" w:tentative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multiLevelType w:val="singleLevel"/>
    <w:lvl w:ilvl="0" w:tentative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multiLevelType w:val="singleLevel"/>
    <w:lvl w:ilvl="0" w:tentative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val="en-US" w:bidi="ar-SA" w:eastAsia="en-US"/>
      </w:rPr>
    </w:rPrDefault>
    <w:pPrDefault>
      <w:pPr>
        <w:spacing w:after="200" w:line="276" w:lineRule="auto"/>
      </w:pPr>
    </w:pPrDefault>
  </w:docDefaults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default="1" w:styleId="Normal">
    <w:name w:val="Normal"/>
    <w:uiPriority w:val="99"/>
    <w:qFormat w:val="on"/>
    <w:pPr>
      <w:spacing w:after="120" w:line="360" w:lineRule="auto"/>
    </w:pPr>
    <w:rPr>
      <w:rFonts w:ascii="Times New Roman" w:eastAsia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BodyText">
    <w:name w:val="Body Text"/>
    <w:basedOn w:val="Normal"/>
    <w:link w:val="BodyTextChar"/>
    <w:uiPriority w:val="99"/>
    <w:unhideWhenUsed w:val="on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 w:val="on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 w:val="on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 w:val="on"/>
    <w:pPr>
      <w:ind w:left="360" w:hanging="360"/>
      <w:contextualSpacing w:val="on"/>
    </w:pPr>
  </w:style>
  <w:style w:type="paragraph" w:styleId="List2">
    <w:name w:val="List 2"/>
    <w:basedOn w:val="Normal"/>
    <w:uiPriority w:val="99"/>
    <w:unhideWhenUsed w:val="on"/>
    <w:pPr>
      <w:ind w:left="720" w:hanging="360"/>
      <w:contextualSpacing w:val="on"/>
    </w:pPr>
  </w:style>
  <w:style w:type="paragraph" w:styleId="List3">
    <w:name w:val="List 3"/>
    <w:basedOn w:val="Normal"/>
    <w:uiPriority w:val="99"/>
    <w:unhideWhenUsed w:val="on"/>
    <w:pPr>
      <w:ind w:left="1080" w:hanging="360"/>
      <w:contextualSpacing w:val="on"/>
    </w:pPr>
  </w:style>
  <w:style w:type="paragraph" w:styleId="ListBullet">
    <w:name w:val="List Bullet"/>
    <w:basedOn w:val="Normal"/>
    <w:uiPriority w:val="99"/>
    <w:unhideWhenUsed w:val="on"/>
    <w:pPr>
      <w:numPr>
        <w:ilvl w:val="0"/>
        <w:numId w:val="1"/>
      </w:numPr>
      <w:contextualSpacing w:val="on"/>
    </w:pPr>
  </w:style>
  <w:style w:type="paragraph" w:styleId="ListBullet2">
    <w:name w:val="List Bullet 2"/>
    <w:basedOn w:val="Normal"/>
    <w:uiPriority w:val="99"/>
    <w:unhideWhenUsed w:val="on"/>
    <w:pPr>
      <w:numPr>
        <w:ilvl w:val="0"/>
        <w:numId w:val="2"/>
      </w:numPr>
      <w:contextualSpacing w:val="on"/>
    </w:pPr>
  </w:style>
  <w:style w:type="paragraph" w:styleId="ListBullet3">
    <w:name w:val="List Bullet 3"/>
    <w:basedOn w:val="Normal"/>
    <w:uiPriority w:val="99"/>
    <w:unhideWhenUsed w:val="on"/>
    <w:pPr>
      <w:numPr>
        <w:ilvl w:val="0"/>
        <w:numId w:val="3"/>
      </w:numPr>
      <w:contextualSpacing w:val="on"/>
    </w:pPr>
  </w:style>
  <w:style w:type="paragraph" w:styleId="ListNumber">
    <w:name w:val="List Number"/>
    <w:basedOn w:val="Normal"/>
    <w:uiPriority w:val="99"/>
    <w:unhideWhenUsed w:val="on"/>
    <w:pPr>
      <w:numPr>
        <w:ilvl w:val="0"/>
        <w:numId w:val="5"/>
      </w:numPr>
      <w:contextualSpacing w:val="on"/>
    </w:pPr>
  </w:style>
  <w:style w:type="paragraph" w:styleId="ListNumber2">
    <w:name w:val="List Number 2"/>
    <w:basedOn w:val="Normal"/>
    <w:uiPriority w:val="99"/>
    <w:unhideWhenUsed w:val="on"/>
    <w:pPr>
      <w:numPr>
        <w:ilvl w:val="0"/>
        <w:numId w:val="6"/>
      </w:numPr>
      <w:contextualSpacing w:val="on"/>
    </w:pPr>
  </w:style>
  <w:style w:type="paragraph" w:styleId="ListNumber3">
    <w:name w:val="List Number 3"/>
    <w:basedOn w:val="Normal"/>
    <w:uiPriority w:val="99"/>
    <w:unhideWhenUsed w:val="on"/>
    <w:pPr>
      <w:numPr>
        <w:ilvl w:val="0"/>
        <w:numId w:val="7"/>
      </w:numPr>
      <w:contextualSpacing w:val="on"/>
    </w:pPr>
  </w:style>
  <w:style w:type="paragraph" w:styleId="ListContinue">
    <w:name w:val="List Continue"/>
    <w:basedOn w:val="Normal"/>
    <w:uiPriority w:val="99"/>
    <w:unhideWhenUsed w:val="on"/>
    <w:pPr>
      <w:spacing w:after="120"/>
      <w:ind w:left="360"/>
      <w:contextualSpacing w:val="on"/>
    </w:pPr>
  </w:style>
  <w:style w:type="paragraph" w:styleId="ListContinue2">
    <w:name w:val="List Continue 2"/>
    <w:basedOn w:val="Normal"/>
    <w:uiPriority w:val="99"/>
    <w:unhideWhenUsed w:val="on"/>
    <w:pPr>
      <w:spacing w:after="120"/>
      <w:ind w:left="720"/>
      <w:contextualSpacing w:val="on"/>
    </w:pPr>
  </w:style>
  <w:style w:type="paragraph" w:styleId="ListContinue3">
    <w:name w:val="List Continue 3"/>
    <w:basedOn w:val="Normal"/>
    <w:uiPriority w:val="99"/>
    <w:unhideWhenUsed w:val="on"/>
    <w:pPr>
      <w:spacing w:after="120"/>
      <w:ind w:left="1080"/>
      <w:contextualSpacing w:val="on"/>
    </w:pPr>
  </w:style>
  <w:style w:type="paragraph" w:styleId="Macro">
    <w:name w:val="Macro"/>
    <w:link w:val="MacroTextChar"/>
    <w:uiPriority w:val="99"/>
    <w:unhideWhenUsed w:val="on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 w:val="on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 w:val="on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 w:val="on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 w:val="on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 w:val="on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 w:val="on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on"/>
    <w:unhideWhenUsed w:val="on"/>
    <w:qFormat w:val="on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 w:val="on"/>
    <w:unhideWhenUsed w:val="on"/>
    <w:qFormat w:val="on"/>
    <w:pPr/>
  </w:style>
  <w:style w:type="table" w:styleId="TableGrid">
    <w:name w:val="Table Grid"/>
    <w:basedOn w:val="NormalTable"/>
    <w:uiPriority w:val="5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NormalTable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4" w:space="0"/>
          <w:bottom w:val="single" w:color="000000" w:themeColor="text1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4" w:space="0"/>
          <w:bottom w:val="single" w:color="000000" w:themeColor="text1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NormalTable"/>
    <w:uiPriority w:val="60"/>
    <w:pPr>
      <w:spacing w:after="0" w:line="240" w:lineRule="auto"/>
    </w:pPr>
    <w:rPr>
      <w:color w:val="3760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4" w:space="0"/>
          <w:bottom w:val="single" w:color="4f81bd" w:themeColor="accent1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4" w:space="0"/>
          <w:bottom w:val="single" w:color="4f81bd" w:themeColor="accent1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</w:style>
  <w:style w:type="table" w:styleId="LightShadingAccent2">
    <w:name w:val="Light Shading Accent 2"/>
    <w:basedOn w:val="NormalTable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4" w:space="0"/>
          <w:bottom w:val="single" w:color="c0504d" w:themeColor="accent2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4" w:space="0"/>
          <w:bottom w:val="single" w:color="c0504d" w:themeColor="accent2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</w:style>
  <w:style w:type="table" w:styleId="LightShadingAccent3">
    <w:name w:val="Light Shading Accent 3"/>
    <w:basedOn w:val="NormalTable"/>
    <w:uiPriority w:val="60"/>
    <w:pPr>
      <w:spacing w:after="0" w:line="240" w:lineRule="auto"/>
    </w:pPr>
    <w:rPr>
      <w:color w:val="75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4" w:space="0"/>
          <w:bottom w:val="single" w:color="9bbb59" w:themeColor="accent3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4" w:space="0"/>
          <w:bottom w:val="single" w:color="9bbb59" w:themeColor="accent3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</w:style>
  <w:style w:type="table" w:styleId="LightShadingAccent4">
    <w:name w:val="Light Shading Accent 4"/>
    <w:basedOn w:val="NormalTable"/>
    <w:uiPriority w:val="60"/>
    <w:pPr>
      <w:spacing w:after="0" w:line="240" w:lineRule="auto"/>
    </w:pPr>
    <w:rPr>
      <w:color w:val="60497b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4" w:space="0"/>
          <w:bottom w:val="single" w:color="8064a2" w:themeColor="accent4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4" w:space="0"/>
          <w:bottom w:val="single" w:color="8064a2" w:themeColor="accent4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NormalTable"/>
    <w:uiPriority w:val="60"/>
    <w:pPr>
      <w:spacing w:after="0" w:line="240" w:lineRule="auto"/>
    </w:pPr>
    <w:rPr>
      <w:color w:val="3183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4" w:space="0"/>
          <w:bottom w:val="single" w:color="4bacc6" w:themeColor="accent5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4" w:space="0"/>
          <w:bottom w:val="single" w:color="4bacc6" w:themeColor="accent5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</w:style>
  <w:style w:type="table" w:styleId="LightShadingAccent6">
    <w:name w:val="Light Shading Accent 6"/>
    <w:basedOn w:val="NormalTable"/>
    <w:uiPriority w:val="60"/>
    <w:pPr>
      <w:spacing w:after="0" w:line="240" w:lineRule="auto"/>
    </w:pPr>
    <w:rPr>
      <w:color w:val="e2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4" w:space="0"/>
          <w:bottom w:val="single" w:color="f79646" w:themeColor="accent6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4" w:space="0"/>
          <w:bottom w:val="single" w:color="f79646" w:themeColor="accent6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</w:style>
  <w:style w:type="table" w:styleId="LightList">
    <w:name w:val="Light List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Accent1">
    <w:name w:val="Light List Accent 1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Accent2">
    <w:name w:val="Light List Accent 2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Accent3">
    <w:name w:val="Light List Accent 3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Accent4">
    <w:name w:val="Light List Accent 4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Accent5">
    <w:name w:val="Light List Accent 5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Accent6">
    <w:name w:val="Light List Accent 6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 w:sz="4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 w:sz="4" w:space="0"/>
          <w:insideV w:val="single" w:color="000000" w:themeColor="text1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Accent1">
    <w:name w:val="Light Grid Accent 1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 w:sz="4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 w:sz="4" w:space="0"/>
          <w:insideV w:val="single" w:color="4f81bd" w:themeColor="accent1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e0ef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Accent2">
    <w:name w:val="Light Grid Accent 2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 w:sz="4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 w:sz="4" w:space="0"/>
          <w:insideV w:val="single" w:color="c0504d" w:themeColor="accent2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4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Accent3">
    <w:name w:val="Light Grid Accent 3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 w:sz="4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 w:sz="4" w:space="0"/>
          <w:insideV w:val="single" w:color="9bbb59" w:themeColor="accent3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6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Accent4">
    <w:name w:val="Light Grid Accent 4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 w:sz="4" w:space="0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 w:sz="4" w:space="0"/>
          <w:insideV w:val="single" w:color="8064a2" w:themeColor="accent4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Accent5">
    <w:name w:val="Light Grid Accent 5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 w:sz="4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 w:sz="4" w:space="0"/>
          <w:insideV w:val="single" w:color="4bacc6" w:themeColor="accent5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1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Accent6">
    <w:name w:val="Light Grid Accent 6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 w:sz="4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 w:sz="4" w:space="0"/>
          <w:insideV w:val="single" w:color="f79646" w:themeColor="accent6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1">
    <w:name w:val="Medium Shading 1 Accent 1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0ef" w:themeFill="accent1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2">
    <w:name w:val="Medium Shading 1 Accent 2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07a78" w:themeColor="accent2" w:themeTint="bf" w:sz="8" w:space="0"/>
        <w:left w:val="single" w:color="d07a78" w:themeColor="accent2" w:themeTint="bf" w:sz="8" w:space="0"/>
        <w:bottom w:val="single" w:color="d07a78" w:themeColor="accent2" w:themeTint="bf" w:sz="8" w:space="0"/>
        <w:right w:val="single" w:color="d07a78" w:themeColor="accent2" w:themeTint="bf" w:sz="8" w:space="0"/>
        <w:insideH w:val="single" w:color="d07a78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07a78" w:themeColor="accent2" w:themeTint="bf" w:sz="8" w:space="0"/>
          <w:left w:val="single" w:color="d07a78" w:themeColor="accent2" w:themeTint="bf" w:sz="8" w:space="0"/>
          <w:bottom w:val="single" w:color="d07a78" w:themeColor="accent2" w:themeTint="bf" w:sz="8" w:space="0"/>
          <w:right w:val="single" w:color="d07a78" w:themeColor="accent2" w:themeTint="bf" w:sz="8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07a78" w:themeColor="accent2" w:themeTint="bf" w:sz="6" w:space="0"/>
          <w:left w:val="single" w:color="d07a78" w:themeColor="accent2" w:themeTint="bf" w:sz="8" w:space="0"/>
          <w:bottom w:val="single" w:color="d07a78" w:themeColor="accent2" w:themeTint="bf" w:sz="8" w:space="0"/>
          <w:right w:val="single" w:color="d07a78" w:themeColor="accent2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4d3" w:themeFill="accent2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3">
    <w:name w:val="Medium Shading 1 Accent 3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6" w:themeFill="accent3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4">
    <w:name w:val="Medium Shading 1 Accent 4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8bb9" w:themeColor="accent4" w:themeTint="bf" w:sz="8" w:space="0"/>
        <w:left w:val="single" w:color="a08bb9" w:themeColor="accent4" w:themeTint="bf" w:sz="8" w:space="0"/>
        <w:bottom w:val="single" w:color="a08bb9" w:themeColor="accent4" w:themeTint="bf" w:sz="8" w:space="0"/>
        <w:right w:val="single" w:color="a08bb9" w:themeColor="accent4" w:themeTint="bf" w:sz="8" w:space="0"/>
        <w:insideH w:val="single" w:color="a08b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08bb9" w:themeColor="accent4" w:themeTint="bf" w:sz="8" w:space="0"/>
          <w:left w:val="single" w:color="a08bb9" w:themeColor="accent4" w:themeTint="bf" w:sz="8" w:space="0"/>
          <w:bottom w:val="single" w:color="a08bb9" w:themeColor="accent4" w:themeTint="bf" w:sz="8" w:space="0"/>
          <w:right w:val="single" w:color="a08bb9" w:themeColor="accent4" w:themeTint="bf" w:sz="8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08bb9" w:themeColor="accent4" w:themeTint="bf" w:sz="6" w:space="0"/>
          <w:left w:val="single" w:color="a08bb9" w:themeColor="accent4" w:themeTint="bf" w:sz="8" w:space="0"/>
          <w:bottom w:val="single" w:color="a08bb9" w:themeColor="accent4" w:themeTint="bf" w:sz="8" w:space="0"/>
          <w:right w:val="single" w:color="a08bb9" w:themeColor="accent4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5">
    <w:name w:val="Medium Shading 1 Accent 5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6c0d4" w:themeColor="accent5" w:themeTint="bf" w:sz="8" w:space="0"/>
        <w:left w:val="single" w:color="76c0d4" w:themeColor="accent5" w:themeTint="bf" w:sz="8" w:space="0"/>
        <w:bottom w:val="single" w:color="76c0d4" w:themeColor="accent5" w:themeTint="bf" w:sz="8" w:space="0"/>
        <w:right w:val="single" w:color="76c0d4" w:themeColor="accent5" w:themeTint="bf" w:sz="8" w:space="0"/>
        <w:insideH w:val="single" w:color="76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6c0d4" w:themeColor="accent5" w:themeTint="bf" w:sz="8" w:space="0"/>
          <w:left w:val="single" w:color="76c0d4" w:themeColor="accent5" w:themeTint="bf" w:sz="8" w:space="0"/>
          <w:bottom w:val="single" w:color="76c0d4" w:themeColor="accent5" w:themeTint="bf" w:sz="8" w:space="0"/>
          <w:right w:val="single" w:color="76c0d4" w:themeColor="accent5" w:themeTint="bf" w:sz="8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6c0d4" w:themeColor="accent5" w:themeTint="bf" w:sz="6" w:space="0"/>
          <w:left w:val="single" w:color="76c0d4" w:themeColor="accent5" w:themeTint="bf" w:sz="8" w:space="0"/>
          <w:bottom w:val="single" w:color="76c0d4" w:themeColor="accent5" w:themeTint="bf" w:sz="8" w:space="0"/>
          <w:right w:val="single" w:color="76c0d4" w:themeColor="accent5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af1" w:themeFill="accent5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6">
    <w:name w:val="Medium Shading 1 Accent 6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3" w:themeColor="accent6" w:themeTint="bf" w:sz="8" w:space="0"/>
        <w:left w:val="single" w:color="f9b073" w:themeColor="accent6" w:themeTint="bf" w:sz="8" w:space="0"/>
        <w:bottom w:val="single" w:color="f9b073" w:themeColor="accent6" w:themeTint="bf" w:sz="8" w:space="0"/>
        <w:right w:val="single" w:color="f9b073" w:themeColor="accent6" w:themeTint="bf" w:sz="8" w:space="0"/>
        <w:insideH w:val="single" w:color="f9b073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3" w:themeColor="accent6" w:themeTint="bf" w:sz="8" w:space="0"/>
          <w:left w:val="single" w:color="f9b073" w:themeColor="accent6" w:themeTint="bf" w:sz="8" w:space="0"/>
          <w:bottom w:val="single" w:color="f9b073" w:themeColor="accent6" w:themeTint="bf" w:sz="8" w:space="0"/>
          <w:right w:val="single" w:color="f9b073" w:themeColor="accent6" w:themeTint="bf" w:sz="8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3" w:themeColor="accent6" w:themeTint="bf" w:sz="6" w:space="0"/>
          <w:left w:val="single" w:color="f9b073" w:themeColor="accent6" w:themeTint="bf" w:sz="8" w:space="0"/>
          <w:bottom w:val="single" w:color="f9b073" w:themeColor="accent6" w:themeTint="bf" w:sz="8" w:space="0"/>
          <w:right w:val="single" w:color="f9b073" w:themeColor="accent6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2">
    <w:name w:val="Medium Shading 2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1">
    <w:name w:val="Medium Shading 2 Accent 1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2">
    <w:name w:val="Medium Shading 2 Accent 2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3">
    <w:name w:val="Medium Shading 2 Accent 3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4">
    <w:name w:val="Medium Shading 2 Accent 4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5">
    <w:name w:val="Medium Shading 2 Accent 5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6">
    <w:name w:val="Medium Shading 2 Accent 6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List1">
    <w:name w:val="Medium List 1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e0ef" w:themeFill="accent1" w:themeFillTint="3f"/>
      </w:tcPr>
    </w:tblStylePr>
    <w:tblStylePr w:type="band1Horz">
      <w:tblPr/>
      <w:tcPr>
        <w:shd w:val="clear" w:color="auto" w:fill="d3e0ef" w:themeFill="accent1" w:themeFillTint="3f"/>
      </w:tcPr>
    </w:tblStylePr>
  </w:style>
  <w:style w:type="table" w:styleId="MediumList1Accent2">
    <w:name w:val="Medium List 1 Accent 2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4d3" w:themeFill="accent2" w:themeFillTint="3f"/>
      </w:tcPr>
    </w:tblStylePr>
    <w:tblStylePr w:type="band1Horz">
      <w:tblPr/>
      <w:tcPr>
        <w:shd w:val="clear" w:color="auto" w:fill="efd4d3" w:themeFill="accent2" w:themeFillTint="3f"/>
      </w:tcPr>
    </w:tblStylePr>
  </w:style>
  <w:style w:type="table" w:styleId="MediumList1Accent3">
    <w:name w:val="Medium List 1 Accent 3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6" w:themeFill="accent3" w:themeFillTint="3f"/>
      </w:tcPr>
    </w:tblStylePr>
    <w:tblStylePr w:type="band1Horz">
      <w:tblPr/>
      <w:tcPr>
        <w:shd w:val="clear" w:color="auto" w:fill="e6eed6" w:themeFill="accent3" w:themeFillTint="3f"/>
      </w:tcPr>
    </w:tblStylePr>
  </w:style>
  <w:style w:type="table" w:styleId="MediumList1Accent4">
    <w:name w:val="Medium List 1 Accent 4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1eaf1" w:themeFill="accent5" w:themeFillTint="3f"/>
      </w:tcPr>
    </w:tblStylePr>
    <w:tblStylePr w:type="band1Horz">
      <w:tblPr/>
      <w:tcPr>
        <w:shd w:val="clear" w:color="auto" w:fill="d1eaf1" w:themeFill="accent5" w:themeFillTint="3f"/>
      </w:tcPr>
    </w:tblStylePr>
  </w:style>
  <w:style w:type="table" w:styleId="MediumList1Accent6">
    <w:name w:val="Medium List 1 Accent 6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000000" w:themeColor="text1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000000" w:themeColor="text1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000000" w:themeColor="text1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1">
    <w:name w:val="Medium List 2 Accent 1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4f81bd" w:themeColor="accent1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4f81bd" w:themeColor="accent1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4f81bd" w:themeColor="accent1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2">
    <w:name w:val="Medium List 2 Accent 2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c0504d" w:themeColor="accent2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c0504d" w:themeColor="accent2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3">
    <w:name w:val="Medium List 2 Accent 3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9bbb59" w:themeColor="accent3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9bbb59" w:themeColor="accent3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9bbb59" w:themeColor="accent3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4">
    <w:name w:val="Medium List 2 Accent 4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8064a2" w:themeColor="accent4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8064a2" w:themeColor="accent4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8064a2" w:themeColor="accent4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5">
    <w:name w:val="Medium List 2 Accent 5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4bacc6" w:themeColor="accent5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4bacc6" w:themeColor="accent5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4bacc6" w:themeColor="accent5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6">
    <w:name w:val="Medium List 2 Accent 6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f79646" w:themeColor="accent6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79646" w:themeColor="accent6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f79646" w:themeColor="accent6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Grid1">
    <w:name w:val="Medium Grid 1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shd w:val="clear" w:color="auto" w:fill="a6bfde" w:themeFill="accent1" w:themeFillTint="7f"/>
      </w:tcPr>
    </w:tblStylePr>
  </w:style>
  <w:style w:type="table" w:styleId="MediumGrid1Accent2">
    <w:name w:val="Medium Grid 1 Accent 2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07a78" w:themeColor="accent2" w:themeTint="bf" w:sz="8" w:space="0"/>
        <w:left w:val="single" w:color="d07a78" w:themeColor="accent2" w:themeTint="bf" w:sz="8" w:space="0"/>
        <w:bottom w:val="single" w:color="d07a78" w:themeColor="accent2" w:themeTint="bf" w:sz="8" w:space="0"/>
        <w:right w:val="single" w:color="d07a78" w:themeColor="accent2" w:themeTint="bf" w:sz="8" w:space="0"/>
        <w:insideH w:val="single" w:color="d07a78" w:themeColor="accent2" w:themeTint="bf" w:sz="8" w:space="0"/>
        <w:insideV w:val="single" w:color="d07a78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4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07a78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shd w:val="clear" w:color="auto" w:fill="dfa6a5" w:themeFill="accent2" w:themeFillTint="7f"/>
      </w:tcPr>
    </w:tblStylePr>
  </w:style>
  <w:style w:type="table" w:styleId="MediumGrid1Accent3">
    <w:name w:val="Medium Grid 1 Accent 3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MediumGrid1Accent4">
    <w:name w:val="Medium Grid 1 Accent 4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8bb9" w:themeColor="accent4" w:themeTint="bf" w:sz="8" w:space="0"/>
        <w:left w:val="single" w:color="a08bb9" w:themeColor="accent4" w:themeTint="bf" w:sz="8" w:space="0"/>
        <w:bottom w:val="single" w:color="a08bb9" w:themeColor="accent4" w:themeTint="bf" w:sz="8" w:space="0"/>
        <w:right w:val="single" w:color="a08bb9" w:themeColor="accent4" w:themeTint="bf" w:sz="8" w:space="0"/>
        <w:insideH w:val="single" w:color="a08bb9" w:themeColor="accent4" w:themeTint="bf" w:sz="8" w:space="0"/>
        <w:insideV w:val="single" w:color="a08b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a08b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shd w:val="clear" w:color="auto" w:fill="bfb1d1" w:themeFill="accent4" w:themeFillTint="7f"/>
      </w:tcPr>
    </w:tblStylePr>
  </w:style>
  <w:style w:type="table" w:styleId="MediumGrid1Accent5">
    <w:name w:val="Medium Grid 1 Accent 5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6c0d4" w:themeColor="accent5" w:themeTint="bf" w:sz="8" w:space="0"/>
        <w:left w:val="single" w:color="76c0d4" w:themeColor="accent5" w:themeTint="bf" w:sz="8" w:space="0"/>
        <w:bottom w:val="single" w:color="76c0d4" w:themeColor="accent5" w:themeTint="bf" w:sz="8" w:space="0"/>
        <w:right w:val="single" w:color="76c0d4" w:themeColor="accent5" w:themeTint="bf" w:sz="8" w:space="0"/>
        <w:insideH w:val="single" w:color="76c0d4" w:themeColor="accent5" w:themeTint="bf" w:sz="8" w:space="0"/>
        <w:insideV w:val="single" w:color="76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6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shd w:val="clear" w:color="auto" w:fill="a4d5e2" w:themeFill="accent5" w:themeFillTint="7f"/>
      </w:tcPr>
    </w:tblStylePr>
  </w:style>
  <w:style w:type="table" w:styleId="MediumGrid1Accent6">
    <w:name w:val="Medium Grid 1 Accent 6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3" w:themeColor="accent6" w:themeTint="bf" w:sz="8" w:space="0"/>
        <w:left w:val="single" w:color="f9b073" w:themeColor="accent6" w:themeTint="bf" w:sz="8" w:space="0"/>
        <w:bottom w:val="single" w:color="f9b073" w:themeColor="accent6" w:themeTint="bf" w:sz="8" w:space="0"/>
        <w:right w:val="single" w:color="f9b073" w:themeColor="accent6" w:themeTint="bf" w:sz="8" w:space="0"/>
        <w:insideH w:val="single" w:color="f9b073" w:themeColor="accent6" w:themeTint="bf" w:sz="8" w:space="0"/>
        <w:insideV w:val="single" w:color="f9b073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3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shd w:val="clear" w:color="auto" w:fill="fbcaa1" w:themeFill="accent6" w:themeFillTint="7f"/>
      </w:tcPr>
    </w:tblStylePr>
  </w:style>
  <w:style w:type="table" w:styleId="MediumGrid2">
    <w:name w:val="Medium Grid 2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3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6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4d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2dbda" w:themeFill="accent2" w:themeFillTint="33"/>
      </w:tc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6a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cdda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beef3" w:themeFill="accent5" w:themeFillTint="33"/>
      </w:tc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4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f" w:themeFill="accent1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a6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6bfde" w:themeFill="accent1" w:themeFillTint="7f"/>
      </w:tcPr>
    </w:tblStylePr>
  </w:style>
  <w:style w:type="table" w:styleId="MediumGrid3Accent2">
    <w:name w:val="Medium Grid 3 Accent 2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4d3" w:themeFill="accent2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dfa6a5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6a5" w:themeFill="accent2" w:themeFillTint="7f"/>
      </w:tcPr>
    </w:tblStylePr>
  </w:style>
  <w:style w:type="table" w:styleId="MediumGrid3Accent3">
    <w:name w:val="Medium Grid 3 Accent 3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6" w:themeFill="accent3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ccddab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cddab" w:themeFill="accent3" w:themeFillTint="7f"/>
      </w:tcPr>
    </w:tblStylePr>
  </w:style>
  <w:style w:type="table" w:styleId="MediumGrid3Accent4">
    <w:name w:val="Medium Grid 3 Accent 4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bfb1d1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1" w:themeFill="accent4" w:themeFillTint="7f"/>
      </w:tcPr>
    </w:tblStylePr>
  </w:style>
  <w:style w:type="table" w:styleId="MediumGrid3Accent5">
    <w:name w:val="Medium Grid 3 Accent 5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eaf1" w:themeFill="accent5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a4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4d5e2" w:themeFill="accent5" w:themeFillTint="7f"/>
      </w:tcPr>
    </w:tblStylePr>
  </w:style>
  <w:style w:type="table" w:styleId="MediumGrid3Accent6">
    <w:name w:val="Medium Grid 3 Accent 6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fbca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1" w:themeFill="accent6" w:themeFillTint="7f"/>
      </w:tcPr>
    </w:tblStylePr>
  </w:style>
  <w:style w:type="table" w:styleId="DarkList">
    <w:name w:val="Dark List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</w:style>
  <w:style w:type="table" w:styleId="DarkListAccent2">
    <w:name w:val="Dark List Accent 2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22422" w:themeFill="accent2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</w:style>
  <w:style w:type="table" w:styleId="DarkListAccent4">
    <w:name w:val="Dark List Accent 4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</w:style>
  <w:style w:type="table" w:styleId="DarkListAccent5">
    <w:name w:val="Dark List Accent 5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05766" w:themeFill="accent5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</w:style>
  <w:style w:type="table" w:styleId="DarkListAccent6">
    <w:name w:val="Dark List Accent 6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64706" w:themeFill="accent6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</w:style>
  <w:style w:type="table" w:styleId="ColorfulShading">
    <w:name w:val="Colorful Shading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000000" w:themeColor="text1" w:themeShade="99" w:sz="4" w:space="0"/>
          <w:insideV w:val="nil" w:sz="4" w:space="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3f8" w:themeFill="accent1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d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2c4d74" w:themeColor="accent1" w:themeShade="99" w:sz="4" w:space="0"/>
          <w:insideV w:val="nil" w:sz="4" w:space="0"/>
        </w:tcBorders>
        <w:shd w:val="clear" w:color="auto" w:fill="2c4d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c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6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eded" w:themeFill="accent2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6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762c2a" w:themeColor="accent2" w:themeShade="99" w:sz="4" w:space="0"/>
          <w:insideV w:val="nil" w:sz="4" w:space="0"/>
        </w:tcBorders>
        <w:shd w:val="clear" w:color="auto" w:fill="76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6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6a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8064a2" w:themeColor="accent4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d74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5d7430" w:themeColor="accent3" w:themeShade="99" w:sz="4" w:space="0"/>
          <w:insideV w:val="nil" w:sz="4" w:space="0"/>
        </w:tcBorders>
        <w:shd w:val="clear" w:color="auto" w:fill="5d74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5d7430" w:themeFill="accent3" w:themeFillShade="99"/>
      </w:tcPr>
    </w:tblStylePr>
    <w:tblStylePr w:type="band1Vert">
      <w:tblPr/>
      <w:tcPr>
        <w:shd w:val="clear" w:color="auto" w:fill="d7e4bc" w:themeFill="accent3" w:themeFillTint="66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ColorfulShadingAccent4">
    <w:name w:val="Colorful Shading Accent 4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9bbb59" w:themeColor="accent3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4c3a62" w:themeColor="accent4" w:themeShade="99" w:sz="4" w:space="0"/>
          <w:insideV w:val="nil" w:sz="4" w:space="0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a" w:themeFill="accent4" w:themeFillTint="66"/>
      </w:tcPr>
    </w:tblStylePr>
    <w:tblStylePr w:type="band1Horz">
      <w:tblPr/>
      <w:tcPr>
        <w:shd w:val="clear" w:color="auto" w:fill="bfb1d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79646" w:themeColor="accent6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97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27697b" w:themeColor="accent5" w:themeShade="99" w:sz="4" w:space="0"/>
          <w:insideV w:val="nil" w:sz="4" w:space="0"/>
        </w:tcBorders>
        <w:shd w:val="clear" w:color="auto" w:fill="27697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7697b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4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4bacc6" w:themeColor="accent5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4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b45608" w:themeColor="accent6" w:themeShade="99" w:sz="4" w:space="0"/>
          <w:insideV w:val="nil" w:sz="4" w:space="0"/>
        </w:tcBorders>
        <w:shd w:val="clear" w:color="auto" w:fill="b4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b45608" w:themeFill="accent6" w:themeFillShade="99"/>
      </w:tcPr>
    </w:tblStylePr>
    <w:tblStylePr w:type="band1Vert">
      <w:tblPr/>
      <w:tcPr>
        <w:shd w:val="clear" w:color="auto" w:fill="fcd5b4" w:themeFill="accent6" w:themeFillTint="66"/>
      </w:tcPr>
    </w:tblStylePr>
    <w:tblStylePr w:type="band1Horz">
      <w:tblPr/>
      <w:tcPr>
        <w:shd w:val="clear" w:color="auto" w:fill="fbcaa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3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ColorfulListAccent3">
    <w:name w:val="Colorful List Accent 3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d9c40" w:themeFill="accent3" w:themeFillShade="cc"/>
      </w:tcPr>
    </w:tblStylePr>
    <w:tblStylePr w:type="lastRow">
      <w:rPr>
        <w:b/>
        <w:bCs/>
        <w:color w:val="7d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Accent5">
    <w:name w:val="Colorful List Accent 5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shd w:val="clear" w:color="auto" w:fill="dbeef3" w:themeFill="accent5" w:themeFillTint="33"/>
      </w:tcPr>
    </w:tblStylePr>
  </w:style>
  <w:style w:type="table" w:styleId="ColorfulListAccent6">
    <w:name w:val="Colorful List Accent 6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ca4" w:themeFill="accent5" w:themeFillShade="cc"/>
      </w:tcPr>
    </w:tblStylePr>
    <w:tblStylePr w:type="lastRow">
      <w:rPr>
        <w:b/>
        <w:bCs/>
        <w:color w:val="348ca4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760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76091" w:themeFill="accent1" w:themeFillShade="bf"/>
      </w:tc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shd w:val="clear" w:color="auto" w:fill="a6bfde" w:themeFill="accent1" w:themeFillTint="7f"/>
      </w:tcPr>
    </w:tblStylePr>
  </w:style>
  <w:style w:type="table" w:styleId="ColorfulGridAccent2">
    <w:name w:val="Colorful Grid Accent 2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a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shd w:val="clear" w:color="auto" w:fill="dfa6a5" w:themeFill="accent2" w:themeFillTint="7f"/>
      </w:tcPr>
    </w:tblStylePr>
  </w:style>
  <w:style w:type="table" w:styleId="ColorfulGridAccent3">
    <w:name w:val="Colorful Grid Accent 3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7e4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4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5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5923c" w:themeFill="accent3" w:themeFillShade="bf"/>
      </w:tc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ColorfulGridAccent4">
    <w:name w:val="Colorful Grid Accent 4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0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049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0497b" w:themeFill="accent4" w:themeFillShade="bf"/>
      </w:tc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shd w:val="clear" w:color="auto" w:fill="bfb1d1" w:themeFill="accent4" w:themeFillTint="7f"/>
      </w:tcPr>
    </w:tblStylePr>
  </w:style>
  <w:style w:type="table" w:styleId="ColorfulGridAccent5">
    <w:name w:val="Colorful Grid Accent 5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39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399" w:themeFill="accent5" w:themeFillShade="bf"/>
      </w:tc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shd w:val="clear" w:color="auto" w:fill="a4d5e2" w:themeFill="accent5" w:themeFillTint="7f"/>
      </w:tcPr>
    </w:tblStylePr>
  </w:style>
  <w:style w:type="table" w:styleId="ColorfulGridAccent6">
    <w:name w:val="Colorful Grid Accent 6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cd5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5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2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26c0a" w:themeFill="accent6" w:themeFillShade="bf"/>
      </w:tc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shd w:val="clear" w:color="auto" w:fill="fbcaa1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4" Type="http://schemas.microsoft.com/office/2007/relationships/stylesWithEffects" Target="stylesWithEffects.xml"/><Relationship Id="rId6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mbria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generated by python-docx</dc:description>
  <dc:creator>python-docx</dc:creator>
  <cp:lastModifiedBy>Мария Борисова</cp:lastModifiedBy>
</cp:coreProperties>
</file>