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F1" w:rsidRDefault="003F14F1" w:rsidP="003F14F1">
      <w:pPr>
        <w:pStyle w:val="a3"/>
        <w:shd w:val="clear" w:color="auto" w:fill="FFFFFF"/>
        <w:spacing w:before="0" w:beforeAutospacing="0" w:after="375" w:afterAutospacing="0"/>
        <w:ind w:left="2124" w:firstLine="708"/>
        <w:jc w:val="both"/>
        <w:textAlignment w:val="baseline"/>
        <w:rPr>
          <w:color w:val="0B0B0B"/>
          <w:sz w:val="28"/>
          <w:szCs w:val="28"/>
        </w:rPr>
      </w:pPr>
      <w:r>
        <w:rPr>
          <w:color w:val="0B0B0B"/>
          <w:sz w:val="28"/>
          <w:szCs w:val="28"/>
        </w:rPr>
        <w:t>Ж</w:t>
      </w:r>
      <w:r w:rsidRPr="003F14F1">
        <w:rPr>
          <w:color w:val="0B0B0B"/>
          <w:sz w:val="28"/>
          <w:szCs w:val="28"/>
        </w:rPr>
        <w:t>енская драматургия</w:t>
      </w:r>
      <w:r>
        <w:rPr>
          <w:color w:val="0B0B0B"/>
          <w:sz w:val="28"/>
          <w:szCs w:val="28"/>
        </w:rPr>
        <w:t>.</w:t>
      </w:r>
      <w:bookmarkStart w:id="0" w:name="_GoBack"/>
      <w:bookmarkEnd w:id="0"/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 xml:space="preserve">На сегодняшний день исследователь, да и просто верный отечественной литературе читатель, имеет хорошее представление о женской поэзии и прозе ХХ века. Но женская драматургия остается недооцененной: художественные произведения писательниц не переиздаются, не получают сценического воплощения. Шуточная фраза </w:t>
      </w:r>
      <w:proofErr w:type="spellStart"/>
      <w:r w:rsidRPr="003F14F1">
        <w:rPr>
          <w:color w:val="0B0B0B"/>
          <w:sz w:val="28"/>
          <w:szCs w:val="28"/>
        </w:rPr>
        <w:t>А.Чехова</w:t>
      </w:r>
      <w:proofErr w:type="spellEnd"/>
      <w:r w:rsidRPr="003F14F1">
        <w:rPr>
          <w:color w:val="0B0B0B"/>
          <w:sz w:val="28"/>
          <w:szCs w:val="28"/>
        </w:rPr>
        <w:t xml:space="preserve"> о «бабах с пьесами» в эпоху </w:t>
      </w:r>
      <w:proofErr w:type="spellStart"/>
      <w:r w:rsidRPr="003F14F1">
        <w:rPr>
          <w:color w:val="0B0B0B"/>
          <w:sz w:val="28"/>
          <w:szCs w:val="28"/>
        </w:rPr>
        <w:t>modern</w:t>
      </w:r>
      <w:proofErr w:type="spellEnd"/>
      <w:r w:rsidRPr="003F14F1">
        <w:rPr>
          <w:color w:val="0B0B0B"/>
          <w:sz w:val="28"/>
          <w:szCs w:val="28"/>
        </w:rPr>
        <w:t xml:space="preserve">, прозвучавшая в заголовке подробной вступительной статьи </w:t>
      </w:r>
      <w:proofErr w:type="spellStart"/>
      <w:r w:rsidRPr="003F14F1">
        <w:rPr>
          <w:color w:val="0B0B0B"/>
          <w:sz w:val="28"/>
          <w:szCs w:val="28"/>
        </w:rPr>
        <w:t>М.Михайловой</w:t>
      </w:r>
      <w:proofErr w:type="spellEnd"/>
      <w:r w:rsidRPr="003F14F1">
        <w:rPr>
          <w:color w:val="0B0B0B"/>
          <w:sz w:val="28"/>
          <w:szCs w:val="28"/>
        </w:rPr>
        <w:t>, и через сто лет несет иронический, не сиюминутный смысл.</w:t>
      </w:r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 xml:space="preserve">В книге запечатлены женские переживания, свежо волновавшие зрителя начала ХХ века. Женщина той эпохи видит себя драматической героиней, ее ремарки не менее существенны, чем поток </w:t>
      </w:r>
      <w:proofErr w:type="gramStart"/>
      <w:r w:rsidRPr="003F14F1">
        <w:rPr>
          <w:color w:val="0B0B0B"/>
          <w:sz w:val="28"/>
          <w:szCs w:val="28"/>
        </w:rPr>
        <w:t>сознания,-</w:t>
      </w:r>
      <w:proofErr w:type="gramEnd"/>
      <w:r w:rsidRPr="003F14F1">
        <w:rPr>
          <w:color w:val="0B0B0B"/>
          <w:sz w:val="28"/>
          <w:szCs w:val="28"/>
        </w:rPr>
        <w:t xml:space="preserve"> она «на сцене» и в поэзии, и в прозе. Драматизация лирического события и эпического действия выявляется в творчестве </w:t>
      </w:r>
      <w:proofErr w:type="spellStart"/>
      <w:r w:rsidRPr="003F14F1">
        <w:rPr>
          <w:color w:val="0B0B0B"/>
          <w:sz w:val="28"/>
          <w:szCs w:val="28"/>
        </w:rPr>
        <w:t>А.Ахматовой</w:t>
      </w:r>
      <w:proofErr w:type="spellEnd"/>
      <w:r w:rsidRPr="003F14F1">
        <w:rPr>
          <w:color w:val="0B0B0B"/>
          <w:sz w:val="28"/>
          <w:szCs w:val="28"/>
        </w:rPr>
        <w:t xml:space="preserve">, </w:t>
      </w:r>
      <w:proofErr w:type="spellStart"/>
      <w:r w:rsidRPr="003F14F1">
        <w:rPr>
          <w:color w:val="0B0B0B"/>
          <w:sz w:val="28"/>
          <w:szCs w:val="28"/>
        </w:rPr>
        <w:t>М.Цветаевой</w:t>
      </w:r>
      <w:proofErr w:type="spellEnd"/>
      <w:r w:rsidRPr="003F14F1">
        <w:rPr>
          <w:color w:val="0B0B0B"/>
          <w:sz w:val="28"/>
          <w:szCs w:val="28"/>
        </w:rPr>
        <w:t xml:space="preserve">, </w:t>
      </w:r>
      <w:proofErr w:type="spellStart"/>
      <w:r w:rsidRPr="003F14F1">
        <w:rPr>
          <w:color w:val="0B0B0B"/>
          <w:sz w:val="28"/>
          <w:szCs w:val="28"/>
        </w:rPr>
        <w:t>З.Гиппиус</w:t>
      </w:r>
      <w:proofErr w:type="spellEnd"/>
      <w:r w:rsidRPr="003F14F1">
        <w:rPr>
          <w:color w:val="0B0B0B"/>
          <w:sz w:val="28"/>
          <w:szCs w:val="28"/>
        </w:rPr>
        <w:t>, Тэффи- и у писательниц менее известных (</w:t>
      </w:r>
      <w:proofErr w:type="spellStart"/>
      <w:r w:rsidRPr="003F14F1">
        <w:rPr>
          <w:color w:val="0B0B0B"/>
          <w:sz w:val="28"/>
          <w:szCs w:val="28"/>
        </w:rPr>
        <w:t>Л.Зиновьевой-Аннибал</w:t>
      </w:r>
      <w:proofErr w:type="spellEnd"/>
      <w:r w:rsidRPr="003F14F1">
        <w:rPr>
          <w:color w:val="0B0B0B"/>
          <w:sz w:val="28"/>
          <w:szCs w:val="28"/>
        </w:rPr>
        <w:t xml:space="preserve">, </w:t>
      </w:r>
      <w:proofErr w:type="spellStart"/>
      <w:r w:rsidRPr="003F14F1">
        <w:rPr>
          <w:color w:val="0B0B0B"/>
          <w:sz w:val="28"/>
          <w:szCs w:val="28"/>
        </w:rPr>
        <w:t>Е.Васильевой</w:t>
      </w:r>
      <w:proofErr w:type="spellEnd"/>
      <w:r w:rsidRPr="003F14F1">
        <w:rPr>
          <w:color w:val="0B0B0B"/>
          <w:sz w:val="28"/>
          <w:szCs w:val="28"/>
        </w:rPr>
        <w:t xml:space="preserve">). Ярким артистизмом наделяют своих героинь </w:t>
      </w:r>
      <w:proofErr w:type="spellStart"/>
      <w:r w:rsidRPr="003F14F1">
        <w:rPr>
          <w:color w:val="0B0B0B"/>
          <w:sz w:val="28"/>
          <w:szCs w:val="28"/>
        </w:rPr>
        <w:t>А.Мар</w:t>
      </w:r>
      <w:proofErr w:type="spellEnd"/>
      <w:r w:rsidRPr="003F14F1">
        <w:rPr>
          <w:color w:val="0B0B0B"/>
          <w:sz w:val="28"/>
          <w:szCs w:val="28"/>
        </w:rPr>
        <w:t xml:space="preserve"> и </w:t>
      </w:r>
      <w:proofErr w:type="spellStart"/>
      <w:r w:rsidRPr="003F14F1">
        <w:rPr>
          <w:color w:val="0B0B0B"/>
          <w:sz w:val="28"/>
          <w:szCs w:val="28"/>
        </w:rPr>
        <w:t>Т.Щепкина</w:t>
      </w:r>
      <w:proofErr w:type="spellEnd"/>
      <w:r w:rsidRPr="003F14F1">
        <w:rPr>
          <w:color w:val="0B0B0B"/>
          <w:sz w:val="28"/>
          <w:szCs w:val="28"/>
        </w:rPr>
        <w:t xml:space="preserve">-Куперник: жизнь и любовь актрисы подробно показаны в пьесах «Когда тонут корабли», «Одна из них», а салонная игра аристократки чеховской эпохи тонко подмечена в «Счастливой женщине». Одновременно в роли Офелии, Татьяны Лариной, Анны Карениной и других женщин, горевших на любовном костре, живут Аглая и Анна в «Кольцах» </w:t>
      </w:r>
      <w:proofErr w:type="spellStart"/>
      <w:r w:rsidRPr="003F14F1">
        <w:rPr>
          <w:color w:val="0B0B0B"/>
          <w:sz w:val="28"/>
          <w:szCs w:val="28"/>
        </w:rPr>
        <w:t>Л.Зиновьевой-Аннибал</w:t>
      </w:r>
      <w:proofErr w:type="spellEnd"/>
      <w:r w:rsidRPr="003F14F1">
        <w:rPr>
          <w:color w:val="0B0B0B"/>
          <w:sz w:val="28"/>
          <w:szCs w:val="28"/>
        </w:rPr>
        <w:t>.</w:t>
      </w:r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 xml:space="preserve">Серебряный век открыл творческий потенциал женской души. Показательно суждение </w:t>
      </w:r>
      <w:proofErr w:type="spellStart"/>
      <w:r w:rsidRPr="003F14F1">
        <w:rPr>
          <w:color w:val="0B0B0B"/>
          <w:sz w:val="28"/>
          <w:szCs w:val="28"/>
        </w:rPr>
        <w:t>Вяч</w:t>
      </w:r>
      <w:proofErr w:type="spellEnd"/>
      <w:r w:rsidRPr="003F14F1">
        <w:rPr>
          <w:color w:val="0B0B0B"/>
          <w:sz w:val="28"/>
          <w:szCs w:val="28"/>
        </w:rPr>
        <w:t>. Иванова: «наиболее благодарно для трагического поэта изображение характера женского», так как «женская личность естественно трагична»</w:t>
      </w:r>
      <w:hyperlink r:id="rId6" w:anchor="footnote_0_8832" w:tooltip="[Иванов Вяч.] О существе трагедии// Иванов Вяч. Лик и личины России: Эстетика и литературная теория. М.: Искусство, 1995. С.102-103." w:history="1">
        <w:r w:rsidRPr="003F14F1">
          <w:rPr>
            <w:rStyle w:val="a4"/>
            <w:b/>
            <w:bCs/>
            <w:color w:val="894D2D"/>
            <w:sz w:val="28"/>
            <w:szCs w:val="28"/>
            <w:bdr w:val="none" w:sz="0" w:space="0" w:color="auto" w:frame="1"/>
            <w:shd w:val="clear" w:color="auto" w:fill="EAEAEA"/>
          </w:rPr>
          <w:t>1</w:t>
        </w:r>
      </w:hyperlink>
      <w:r w:rsidRPr="003F14F1">
        <w:rPr>
          <w:color w:val="0B0B0B"/>
          <w:sz w:val="28"/>
          <w:szCs w:val="28"/>
        </w:rPr>
        <w:t xml:space="preserve">. В рецензируемой книге женщина пишет о себе сама, и жесткий взгляд на страсть и быт рождает не привычную лирическую драму, а символическую образность (например, игру цветами и запахами в пьесе </w:t>
      </w:r>
      <w:proofErr w:type="spellStart"/>
      <w:r w:rsidRPr="003F14F1">
        <w:rPr>
          <w:color w:val="0B0B0B"/>
          <w:sz w:val="28"/>
          <w:szCs w:val="28"/>
        </w:rPr>
        <w:t>Л.Зиновьевой-Аннибал</w:t>
      </w:r>
      <w:proofErr w:type="spellEnd"/>
      <w:r w:rsidRPr="003F14F1">
        <w:rPr>
          <w:color w:val="0B0B0B"/>
          <w:sz w:val="28"/>
          <w:szCs w:val="28"/>
        </w:rPr>
        <w:t xml:space="preserve"> «Кольца») или героику (</w:t>
      </w:r>
      <w:proofErr w:type="spellStart"/>
      <w:r w:rsidRPr="003F14F1">
        <w:rPr>
          <w:color w:val="0B0B0B"/>
          <w:sz w:val="28"/>
          <w:szCs w:val="28"/>
        </w:rPr>
        <w:t>З.Гиппиус</w:t>
      </w:r>
      <w:proofErr w:type="spellEnd"/>
      <w:r w:rsidRPr="003F14F1">
        <w:rPr>
          <w:color w:val="0B0B0B"/>
          <w:sz w:val="28"/>
          <w:szCs w:val="28"/>
        </w:rPr>
        <w:t xml:space="preserve"> «Святая кровь»). Психологизм таких разных авторов, как </w:t>
      </w:r>
      <w:proofErr w:type="spellStart"/>
      <w:r w:rsidRPr="003F14F1">
        <w:rPr>
          <w:color w:val="0B0B0B"/>
          <w:sz w:val="28"/>
          <w:szCs w:val="28"/>
        </w:rPr>
        <w:t>А.Мар</w:t>
      </w:r>
      <w:proofErr w:type="spellEnd"/>
      <w:r w:rsidRPr="003F14F1">
        <w:rPr>
          <w:color w:val="0B0B0B"/>
          <w:sz w:val="28"/>
          <w:szCs w:val="28"/>
        </w:rPr>
        <w:t xml:space="preserve">, </w:t>
      </w:r>
      <w:proofErr w:type="spellStart"/>
      <w:r w:rsidRPr="003F14F1">
        <w:rPr>
          <w:color w:val="0B0B0B"/>
          <w:sz w:val="28"/>
          <w:szCs w:val="28"/>
        </w:rPr>
        <w:t>А.Мирэ</w:t>
      </w:r>
      <w:proofErr w:type="spellEnd"/>
      <w:r w:rsidRPr="003F14F1">
        <w:rPr>
          <w:color w:val="0B0B0B"/>
          <w:sz w:val="28"/>
          <w:szCs w:val="28"/>
        </w:rPr>
        <w:t xml:space="preserve">, Тэффи, </w:t>
      </w:r>
      <w:proofErr w:type="spellStart"/>
      <w:r w:rsidRPr="003F14F1">
        <w:rPr>
          <w:color w:val="0B0B0B"/>
          <w:sz w:val="28"/>
          <w:szCs w:val="28"/>
        </w:rPr>
        <w:t>Н.Лухманова</w:t>
      </w:r>
      <w:proofErr w:type="spellEnd"/>
      <w:r w:rsidRPr="003F14F1">
        <w:rPr>
          <w:color w:val="0B0B0B"/>
          <w:sz w:val="28"/>
          <w:szCs w:val="28"/>
        </w:rPr>
        <w:t xml:space="preserve"> глубоко интеллектуален.</w:t>
      </w:r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 xml:space="preserve">«Женская личность» в пьесах предстает как мыслящая. По словам </w:t>
      </w:r>
      <w:proofErr w:type="spellStart"/>
      <w:r w:rsidRPr="003F14F1">
        <w:rPr>
          <w:color w:val="0B0B0B"/>
          <w:sz w:val="28"/>
          <w:szCs w:val="28"/>
        </w:rPr>
        <w:t>М.Михайловой</w:t>
      </w:r>
      <w:proofErr w:type="spellEnd"/>
      <w:r w:rsidRPr="003F14F1">
        <w:rPr>
          <w:color w:val="0B0B0B"/>
          <w:sz w:val="28"/>
          <w:szCs w:val="28"/>
        </w:rPr>
        <w:t xml:space="preserve">, Тэффи, </w:t>
      </w:r>
      <w:proofErr w:type="spellStart"/>
      <w:r w:rsidRPr="003F14F1">
        <w:rPr>
          <w:color w:val="0B0B0B"/>
          <w:sz w:val="28"/>
          <w:szCs w:val="28"/>
        </w:rPr>
        <w:t>Е.Васильева</w:t>
      </w:r>
      <w:proofErr w:type="spellEnd"/>
      <w:r w:rsidRPr="003F14F1">
        <w:rPr>
          <w:color w:val="0B0B0B"/>
          <w:sz w:val="28"/>
          <w:szCs w:val="28"/>
        </w:rPr>
        <w:t xml:space="preserve"> и </w:t>
      </w:r>
      <w:proofErr w:type="spellStart"/>
      <w:r w:rsidRPr="003F14F1">
        <w:rPr>
          <w:color w:val="0B0B0B"/>
          <w:sz w:val="28"/>
          <w:szCs w:val="28"/>
        </w:rPr>
        <w:t>З.Гиппиус</w:t>
      </w:r>
      <w:proofErr w:type="spellEnd"/>
      <w:r w:rsidRPr="003F14F1">
        <w:rPr>
          <w:color w:val="0B0B0B"/>
          <w:sz w:val="28"/>
          <w:szCs w:val="28"/>
        </w:rPr>
        <w:t xml:space="preserve"> «во многом предвосхитили поиски театра абсурда, дали образцы детской драматургии, расширили сферу комического» (с. 60). Пьесы </w:t>
      </w:r>
      <w:proofErr w:type="spellStart"/>
      <w:r w:rsidRPr="003F14F1">
        <w:rPr>
          <w:color w:val="0B0B0B"/>
          <w:sz w:val="28"/>
          <w:szCs w:val="28"/>
        </w:rPr>
        <w:t>Л.Зиновьевой-Аннибал</w:t>
      </w:r>
      <w:proofErr w:type="spellEnd"/>
      <w:r w:rsidRPr="003F14F1">
        <w:rPr>
          <w:color w:val="0B0B0B"/>
          <w:sz w:val="28"/>
          <w:szCs w:val="28"/>
        </w:rPr>
        <w:t xml:space="preserve">, жены </w:t>
      </w:r>
      <w:proofErr w:type="spellStart"/>
      <w:r w:rsidRPr="003F14F1">
        <w:rPr>
          <w:color w:val="0B0B0B"/>
          <w:sz w:val="28"/>
          <w:szCs w:val="28"/>
        </w:rPr>
        <w:t>Вяч</w:t>
      </w:r>
      <w:proofErr w:type="spellEnd"/>
      <w:r w:rsidRPr="003F14F1">
        <w:rPr>
          <w:color w:val="0B0B0B"/>
          <w:sz w:val="28"/>
          <w:szCs w:val="28"/>
        </w:rPr>
        <w:t xml:space="preserve">. Иванова, воспринимаются в контексте философских и </w:t>
      </w:r>
      <w:proofErr w:type="spellStart"/>
      <w:r w:rsidRPr="003F14F1">
        <w:rPr>
          <w:color w:val="0B0B0B"/>
          <w:sz w:val="28"/>
          <w:szCs w:val="28"/>
        </w:rPr>
        <w:t>жизнетворческих</w:t>
      </w:r>
      <w:proofErr w:type="spellEnd"/>
      <w:r w:rsidRPr="003F14F1">
        <w:rPr>
          <w:color w:val="0B0B0B"/>
          <w:sz w:val="28"/>
          <w:szCs w:val="28"/>
        </w:rPr>
        <w:t xml:space="preserve"> поисков русского символизма. Примечательно, что трагическую </w:t>
      </w:r>
      <w:proofErr w:type="spellStart"/>
      <w:r w:rsidRPr="003F14F1">
        <w:rPr>
          <w:color w:val="0B0B0B"/>
          <w:sz w:val="28"/>
          <w:szCs w:val="28"/>
        </w:rPr>
        <w:t>карнавальность</w:t>
      </w:r>
      <w:proofErr w:type="spellEnd"/>
      <w:r w:rsidRPr="003F14F1">
        <w:rPr>
          <w:color w:val="0B0B0B"/>
          <w:sz w:val="28"/>
          <w:szCs w:val="28"/>
        </w:rPr>
        <w:t xml:space="preserve"> эпохи писательница попыталась осмыслить уже в произведениях 1900-х годов, одновременно с </w:t>
      </w:r>
      <w:proofErr w:type="spellStart"/>
      <w:r w:rsidRPr="003F14F1">
        <w:rPr>
          <w:color w:val="0B0B0B"/>
          <w:sz w:val="28"/>
          <w:szCs w:val="28"/>
        </w:rPr>
        <w:t>Ф.Сологубом</w:t>
      </w:r>
      <w:proofErr w:type="spellEnd"/>
      <w:r w:rsidRPr="003F14F1">
        <w:rPr>
          <w:color w:val="0B0B0B"/>
          <w:sz w:val="28"/>
          <w:szCs w:val="28"/>
        </w:rPr>
        <w:t xml:space="preserve">, </w:t>
      </w:r>
      <w:proofErr w:type="spellStart"/>
      <w:r w:rsidRPr="003F14F1">
        <w:rPr>
          <w:color w:val="0B0B0B"/>
          <w:sz w:val="28"/>
          <w:szCs w:val="28"/>
        </w:rPr>
        <w:t>А.Блоком</w:t>
      </w:r>
      <w:proofErr w:type="spellEnd"/>
      <w:r w:rsidRPr="003F14F1">
        <w:rPr>
          <w:color w:val="0B0B0B"/>
          <w:sz w:val="28"/>
          <w:szCs w:val="28"/>
        </w:rPr>
        <w:t xml:space="preserve">, </w:t>
      </w:r>
      <w:proofErr w:type="spellStart"/>
      <w:r w:rsidRPr="003F14F1">
        <w:rPr>
          <w:color w:val="0B0B0B"/>
          <w:sz w:val="28"/>
          <w:szCs w:val="28"/>
        </w:rPr>
        <w:t>А.Белым</w:t>
      </w:r>
      <w:proofErr w:type="spellEnd"/>
      <w:r w:rsidRPr="003F14F1">
        <w:rPr>
          <w:color w:val="0B0B0B"/>
          <w:sz w:val="28"/>
          <w:szCs w:val="28"/>
        </w:rPr>
        <w:t>.</w:t>
      </w:r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 xml:space="preserve">Благодаря обстоятельному историко-культурному комментарию у читателя есть возможность соотнести оценку критиков начала прошлого века с собственным взглядом на произведения. Цитируются статьи из дореволюционных выпусков «Аполлона», «Обозрения театров», «Современного мира», «Биржевых ведомостей» и проч. К примеру, в 1910-е </w:t>
      </w:r>
      <w:r w:rsidRPr="003F14F1">
        <w:rPr>
          <w:color w:val="0B0B0B"/>
          <w:sz w:val="28"/>
          <w:szCs w:val="28"/>
        </w:rPr>
        <w:lastRenderedPageBreak/>
        <w:t xml:space="preserve">годы полемика разгорелась вокруг постановок пьесы </w:t>
      </w:r>
      <w:proofErr w:type="spellStart"/>
      <w:r w:rsidRPr="003F14F1">
        <w:rPr>
          <w:color w:val="0B0B0B"/>
          <w:sz w:val="28"/>
          <w:szCs w:val="28"/>
        </w:rPr>
        <w:t>З.Гиппиус</w:t>
      </w:r>
      <w:proofErr w:type="spellEnd"/>
      <w:r w:rsidRPr="003F14F1">
        <w:rPr>
          <w:color w:val="0B0B0B"/>
          <w:sz w:val="28"/>
          <w:szCs w:val="28"/>
        </w:rPr>
        <w:t xml:space="preserve"> «Зеленое кольцо». Автора справедливо упрекали тогда за «умственный подход» к жизни, абстрактность и излишний оптимизм, однако сегодня удивляет женская интуиция писательницы, угадавшей в настроениях молодежи тоску бездомности и бессознательный порыв сплотиться под любым идейным знаменем. Успешной в 1911 году была признана постановка пьесы </w:t>
      </w:r>
      <w:proofErr w:type="spellStart"/>
      <w:r w:rsidRPr="003F14F1">
        <w:rPr>
          <w:color w:val="0B0B0B"/>
          <w:sz w:val="28"/>
          <w:szCs w:val="28"/>
        </w:rPr>
        <w:t>Т.Щепкиной</w:t>
      </w:r>
      <w:proofErr w:type="spellEnd"/>
      <w:r w:rsidRPr="003F14F1">
        <w:rPr>
          <w:color w:val="0B0B0B"/>
          <w:sz w:val="28"/>
          <w:szCs w:val="28"/>
        </w:rPr>
        <w:t xml:space="preserve">-Куперник «Счастливая женщина». Как указано в комментарии, писательнице присудили </w:t>
      </w:r>
      <w:proofErr w:type="spellStart"/>
      <w:r w:rsidRPr="003F14F1">
        <w:rPr>
          <w:color w:val="0B0B0B"/>
          <w:sz w:val="28"/>
          <w:szCs w:val="28"/>
        </w:rPr>
        <w:t>Грибоедовскую</w:t>
      </w:r>
      <w:proofErr w:type="spellEnd"/>
      <w:r w:rsidRPr="003F14F1">
        <w:rPr>
          <w:color w:val="0B0B0B"/>
          <w:sz w:val="28"/>
          <w:szCs w:val="28"/>
        </w:rPr>
        <w:t xml:space="preserve"> премию (с.558). Но рецензенты высказали и существенное замечание. Не понравилась «случайность», стремительность перевоплощения героини-аристократки в некрасовскую «русскую женщину», национальную героиню, готовую ехать к сыну на каторгу. Кажется, что в наши дни, воспринятый в контексте женской поэзии ХХ века, в том числе, «Реквиема» </w:t>
      </w:r>
      <w:proofErr w:type="spellStart"/>
      <w:r w:rsidRPr="003F14F1">
        <w:rPr>
          <w:color w:val="0B0B0B"/>
          <w:sz w:val="28"/>
          <w:szCs w:val="28"/>
        </w:rPr>
        <w:t>А.Ахматовой</w:t>
      </w:r>
      <w:proofErr w:type="spellEnd"/>
      <w:r w:rsidRPr="003F14F1">
        <w:rPr>
          <w:color w:val="0B0B0B"/>
          <w:sz w:val="28"/>
          <w:szCs w:val="28"/>
        </w:rPr>
        <w:t xml:space="preserve">, образ матери-грешницы у </w:t>
      </w:r>
      <w:proofErr w:type="spellStart"/>
      <w:r w:rsidRPr="003F14F1">
        <w:rPr>
          <w:color w:val="0B0B0B"/>
          <w:sz w:val="28"/>
          <w:szCs w:val="28"/>
        </w:rPr>
        <w:t>Т.Щепкиной</w:t>
      </w:r>
      <w:proofErr w:type="spellEnd"/>
      <w:r w:rsidRPr="003F14F1">
        <w:rPr>
          <w:color w:val="0B0B0B"/>
          <w:sz w:val="28"/>
          <w:szCs w:val="28"/>
        </w:rPr>
        <w:t>-Куперник звучит гораздо убедительнее.</w:t>
      </w:r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 xml:space="preserve">В сборник вошли не только пьесы, но и сведения о жизни писательниц, собранные по архивным материалам, заметкам в периодике, воспоминаниям современников. Особенно это касается писательниц </w:t>
      </w:r>
      <w:proofErr w:type="spellStart"/>
      <w:r w:rsidRPr="003F14F1">
        <w:rPr>
          <w:color w:val="0B0B0B"/>
          <w:sz w:val="28"/>
          <w:szCs w:val="28"/>
        </w:rPr>
        <w:t>А.Мирэ</w:t>
      </w:r>
      <w:proofErr w:type="spellEnd"/>
      <w:r w:rsidRPr="003F14F1">
        <w:rPr>
          <w:color w:val="0B0B0B"/>
          <w:sz w:val="28"/>
          <w:szCs w:val="28"/>
        </w:rPr>
        <w:t xml:space="preserve"> и Анны </w:t>
      </w:r>
      <w:proofErr w:type="spellStart"/>
      <w:r w:rsidRPr="003F14F1">
        <w:rPr>
          <w:color w:val="0B0B0B"/>
          <w:sz w:val="28"/>
          <w:szCs w:val="28"/>
        </w:rPr>
        <w:t>Мар</w:t>
      </w:r>
      <w:proofErr w:type="spellEnd"/>
      <w:r w:rsidRPr="003F14F1">
        <w:rPr>
          <w:color w:val="0B0B0B"/>
          <w:sz w:val="28"/>
          <w:szCs w:val="28"/>
        </w:rPr>
        <w:t xml:space="preserve"> (пьеса «Когда тонут корабли» печатается </w:t>
      </w:r>
      <w:proofErr w:type="spellStart"/>
      <w:r w:rsidRPr="003F14F1">
        <w:rPr>
          <w:color w:val="0B0B0B"/>
          <w:sz w:val="28"/>
          <w:szCs w:val="28"/>
        </w:rPr>
        <w:t>М.Михайловой</w:t>
      </w:r>
      <w:proofErr w:type="spellEnd"/>
      <w:r w:rsidRPr="003F14F1">
        <w:rPr>
          <w:color w:val="0B0B0B"/>
          <w:sz w:val="28"/>
          <w:szCs w:val="28"/>
        </w:rPr>
        <w:t xml:space="preserve"> по рукописному экземпляру). Когда жизнь и творчество предстают под одной обложкой, закономерной и объяснимой видится их связь; трагична судьба Александры Моисеевой (</w:t>
      </w:r>
      <w:proofErr w:type="spellStart"/>
      <w:r w:rsidRPr="003F14F1">
        <w:rPr>
          <w:color w:val="0B0B0B"/>
          <w:sz w:val="28"/>
          <w:szCs w:val="28"/>
        </w:rPr>
        <w:t>А.Мирэ</w:t>
      </w:r>
      <w:proofErr w:type="spellEnd"/>
      <w:r w:rsidRPr="003F14F1">
        <w:rPr>
          <w:color w:val="0B0B0B"/>
          <w:sz w:val="28"/>
          <w:szCs w:val="28"/>
        </w:rPr>
        <w:t xml:space="preserve">), сначала написавшей пьесы «Побежденные» и «Голубой павлин» о возможности любви только в сказке, а потом на самом деле сошедшей с ума от любви; Надежда </w:t>
      </w:r>
      <w:proofErr w:type="spellStart"/>
      <w:r w:rsidRPr="003F14F1">
        <w:rPr>
          <w:color w:val="0B0B0B"/>
          <w:sz w:val="28"/>
          <w:szCs w:val="28"/>
        </w:rPr>
        <w:t>Лухманова</w:t>
      </w:r>
      <w:proofErr w:type="spellEnd"/>
      <w:r w:rsidRPr="003F14F1">
        <w:rPr>
          <w:color w:val="0B0B0B"/>
          <w:sz w:val="28"/>
          <w:szCs w:val="28"/>
        </w:rPr>
        <w:t xml:space="preserve"> в «Охотнике за белой дичью» создала образ женщины деловой, мужественной- сама же во время русско-японской войны стала сестрой милосердия и получила золотую медаль на Георгиевской ленте.</w:t>
      </w:r>
    </w:p>
    <w:p w:rsidR="003F14F1" w:rsidRPr="003F14F1" w:rsidRDefault="003F14F1" w:rsidP="003F14F1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color w:val="0B0B0B"/>
          <w:sz w:val="28"/>
          <w:szCs w:val="28"/>
        </w:rPr>
      </w:pPr>
      <w:r w:rsidRPr="003F14F1">
        <w:rPr>
          <w:color w:val="0B0B0B"/>
          <w:sz w:val="28"/>
          <w:szCs w:val="28"/>
        </w:rPr>
        <w:t>«Женская драматургия Серебряного века» будет действительно интересна широкому кругу читателей. Она содержит богатый, профессионально подготовленный и изданный материал, ценный для будущих исследований русской литературы.</w:t>
      </w:r>
    </w:p>
    <w:p w:rsidR="00994494" w:rsidRDefault="00994494"/>
    <w:sectPr w:rsidR="00994494" w:rsidSect="003F14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1E" w:rsidRDefault="00611E1E" w:rsidP="003F14F1">
      <w:pPr>
        <w:spacing w:after="0" w:line="240" w:lineRule="auto"/>
      </w:pPr>
      <w:r>
        <w:separator/>
      </w:r>
    </w:p>
  </w:endnote>
  <w:endnote w:type="continuationSeparator" w:id="0">
    <w:p w:rsidR="00611E1E" w:rsidRDefault="00611E1E" w:rsidP="003F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1E" w:rsidRDefault="00611E1E" w:rsidP="003F14F1">
      <w:pPr>
        <w:spacing w:after="0" w:line="240" w:lineRule="auto"/>
      </w:pPr>
      <w:r>
        <w:separator/>
      </w:r>
    </w:p>
  </w:footnote>
  <w:footnote w:type="continuationSeparator" w:id="0">
    <w:p w:rsidR="00611E1E" w:rsidRDefault="00611E1E" w:rsidP="003F1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F1"/>
    <w:rsid w:val="003F14F1"/>
    <w:rsid w:val="00611E1E"/>
    <w:rsid w:val="0099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A549"/>
  <w15:chartTrackingRefBased/>
  <w15:docId w15:val="{5539AD5B-4466-4BDE-966F-B3DC3EB4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4F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F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4F1"/>
  </w:style>
  <w:style w:type="paragraph" w:styleId="a7">
    <w:name w:val="footer"/>
    <w:basedOn w:val="a"/>
    <w:link w:val="a8"/>
    <w:uiPriority w:val="99"/>
    <w:unhideWhenUsed/>
    <w:rsid w:val="003F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plit.ru/article/zhenskaya-dramaturgiya-serebryanogo-vek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Petukhov</dc:creator>
  <cp:keywords/>
  <dc:description/>
  <cp:lastModifiedBy>Denis Petukhov</cp:lastModifiedBy>
  <cp:revision>1</cp:revision>
  <dcterms:created xsi:type="dcterms:W3CDTF">2026-06-15T16:48:00Z</dcterms:created>
  <dcterms:modified xsi:type="dcterms:W3CDTF">2026-06-15T16:52:00Z</dcterms:modified>
</cp:coreProperties>
</file>