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AD" w:rsidRPr="00A833AD" w:rsidRDefault="00A833AD" w:rsidP="00A833AD">
      <w:pPr>
        <w:shd w:val="clear" w:color="auto" w:fill="F8FAFC"/>
        <w:spacing w:after="150" w:line="240" w:lineRule="auto"/>
        <w:outlineLvl w:val="0"/>
        <w:rPr>
          <w:rFonts w:ascii="OpenSans-Regular" w:eastAsia="Times New Roman" w:hAnsi="OpenSans-Regular" w:cs="Times New Roman"/>
          <w:color w:val="212529"/>
          <w:kern w:val="36"/>
          <w:sz w:val="48"/>
          <w:szCs w:val="48"/>
          <w:lang w:eastAsia="ru-RU"/>
        </w:rPr>
      </w:pPr>
      <w:r w:rsidRPr="00A833AD">
        <w:rPr>
          <w:rFonts w:ascii="OpenSans-Regular" w:eastAsia="Times New Roman" w:hAnsi="OpenSans-Regular" w:cs="Times New Roman"/>
          <w:color w:val="212529"/>
          <w:kern w:val="36"/>
          <w:sz w:val="48"/>
          <w:szCs w:val="48"/>
          <w:lang w:eastAsia="ru-RU"/>
        </w:rPr>
        <w:t>Герои и современники Серебряного века</w:t>
      </w:r>
    </w:p>
    <w:p w:rsidR="00A833AD" w:rsidRPr="00A833AD" w:rsidRDefault="00A833AD" w:rsidP="00A833AD">
      <w:pPr>
        <w:shd w:val="clear" w:color="auto" w:fill="F8FAFC"/>
        <w:spacing w:after="0" w:line="240" w:lineRule="auto"/>
        <w:rPr>
          <w:rFonts w:ascii="OpenSans-Regular" w:eastAsia="Times New Roman" w:hAnsi="OpenSans-Regular" w:cs="Times New Roman"/>
          <w:color w:val="212529"/>
          <w:sz w:val="21"/>
          <w:szCs w:val="21"/>
          <w:lang w:eastAsia="ru-RU"/>
        </w:rPr>
      </w:pPr>
      <w:bookmarkStart w:id="0" w:name="_GoBack"/>
      <w:bookmarkEnd w:id="0"/>
      <w:r w:rsidRPr="00A833AD">
        <w:rPr>
          <w:rFonts w:ascii="OpenSans-Regular" w:eastAsia="Times New Roman" w:hAnsi="OpenSans-Regular" w:cs="Times New Roman"/>
          <w:color w:val="212529"/>
          <w:sz w:val="21"/>
          <w:szCs w:val="21"/>
          <w:lang w:eastAsia="ru-RU"/>
        </w:rPr>
        <w:t>ВЫСТАВКА ИЗ ФОНДОВ ГРАФИКИ ТРЕТЬЯКОВСКОЙ ГАЛЕРЕИ ПОСВЯЩЕНА ОДНОМУ ИЗ САМЫХ БЛЕСТЯЩИХ И ПРОТИВОРЕЧИВЫХ ПЕРИОДОВ В РУССКОМ ИСКУССТВЕ — НАЧАЛУ ХХ ВЕКА. 6 НОЯБРЯ 2023 — 26 МАЯ 2024. ТРЕТЬЯКОВСКАЯ ГАЛЕРЕЯ, Г. МОСКВА, ЛАВРУШИНСКИЙ ПЕРЕУЛОК, 10, ЗАЛЫ 49–54.</w:t>
      </w:r>
    </w:p>
    <w:p w:rsidR="00A833AD" w:rsidRPr="00A833AD" w:rsidRDefault="00A833AD" w:rsidP="00A833AD">
      <w:pPr>
        <w:shd w:val="clear" w:color="auto" w:fill="F8FAFC"/>
        <w:spacing w:before="150" w:after="150" w:line="240" w:lineRule="auto"/>
        <w:ind w:firstLine="360"/>
        <w:jc w:val="both"/>
        <w:rPr>
          <w:rFonts w:ascii="OpenSans-Regular" w:eastAsia="Times New Roman" w:hAnsi="OpenSans-Regular" w:cs="Times New Roman"/>
          <w:color w:val="212529"/>
          <w:sz w:val="24"/>
          <w:szCs w:val="24"/>
          <w:lang w:eastAsia="ru-RU"/>
        </w:rPr>
      </w:pPr>
      <w:r w:rsidRPr="00A833AD">
        <w:rPr>
          <w:rFonts w:ascii="OpenSans-Regular" w:eastAsia="Times New Roman" w:hAnsi="OpenSans-Regular" w:cs="Times New Roman"/>
          <w:color w:val="212529"/>
          <w:sz w:val="24"/>
          <w:szCs w:val="24"/>
          <w:lang w:eastAsia="ru-RU"/>
        </w:rPr>
        <w:t xml:space="preserve">Рубеж столетий был отмечен сломом старой эстетической модели и поиском новой. Отсюда разнообразие стилей, направлений, авторских почерков, теорий, объединений, художественных обществ. </w:t>
      </w:r>
      <w:proofErr w:type="spellStart"/>
      <w:r w:rsidRPr="00A833AD">
        <w:rPr>
          <w:rFonts w:ascii="OpenSans-Regular" w:eastAsia="Times New Roman" w:hAnsi="OpenSans-Regular" w:cs="Times New Roman"/>
          <w:color w:val="212529"/>
          <w:sz w:val="24"/>
          <w:szCs w:val="24"/>
          <w:lang w:eastAsia="ru-RU"/>
        </w:rPr>
        <w:t>Мирискусники</w:t>
      </w:r>
      <w:proofErr w:type="spellEnd"/>
      <w:r w:rsidRPr="00A833AD">
        <w:rPr>
          <w:rFonts w:ascii="OpenSans-Regular" w:eastAsia="Times New Roman" w:hAnsi="OpenSans-Regular" w:cs="Times New Roman"/>
          <w:color w:val="212529"/>
          <w:sz w:val="24"/>
          <w:szCs w:val="24"/>
          <w:lang w:eastAsia="ru-RU"/>
        </w:rPr>
        <w:t>, «</w:t>
      </w:r>
      <w:proofErr w:type="spellStart"/>
      <w:r w:rsidRPr="00A833AD">
        <w:rPr>
          <w:rFonts w:ascii="OpenSans-Regular" w:eastAsia="Times New Roman" w:hAnsi="OpenSans-Regular" w:cs="Times New Roman"/>
          <w:color w:val="212529"/>
          <w:sz w:val="24"/>
          <w:szCs w:val="24"/>
          <w:lang w:eastAsia="ru-RU"/>
        </w:rPr>
        <w:t>голуборозовцы</w:t>
      </w:r>
      <w:proofErr w:type="spellEnd"/>
      <w:r w:rsidRPr="00A833AD">
        <w:rPr>
          <w:rFonts w:ascii="OpenSans-Regular" w:eastAsia="Times New Roman" w:hAnsi="OpenSans-Regular" w:cs="Times New Roman"/>
          <w:color w:val="212529"/>
          <w:sz w:val="24"/>
          <w:szCs w:val="24"/>
          <w:lang w:eastAsia="ru-RU"/>
        </w:rPr>
        <w:t>», символисты, авангардисты, примитивисты, футуристы, конструктивисты, неоклассики и другие — все сосуществовали одновременно в очень коротком временном промежутке, продлившемся едва ли два десятилетия. 1917 год стал началом конца разнообразия мнений и взглядов на искусство.</w:t>
      </w:r>
    </w:p>
    <w:p w:rsidR="00A833AD" w:rsidRPr="00A833AD" w:rsidRDefault="00A833AD" w:rsidP="00A833AD">
      <w:pPr>
        <w:shd w:val="clear" w:color="auto" w:fill="F8FAFC"/>
        <w:spacing w:before="150" w:after="150" w:line="240" w:lineRule="auto"/>
        <w:ind w:firstLine="360"/>
        <w:jc w:val="both"/>
        <w:rPr>
          <w:rFonts w:ascii="OpenSans-Regular" w:eastAsia="Times New Roman" w:hAnsi="OpenSans-Regular" w:cs="Times New Roman"/>
          <w:color w:val="212529"/>
          <w:sz w:val="24"/>
          <w:szCs w:val="24"/>
          <w:lang w:eastAsia="ru-RU"/>
        </w:rPr>
      </w:pPr>
      <w:r w:rsidRPr="00A833AD">
        <w:rPr>
          <w:rFonts w:ascii="OpenSans-Regular" w:eastAsia="Times New Roman" w:hAnsi="OpenSans-Regular" w:cs="Times New Roman"/>
          <w:color w:val="212529"/>
          <w:sz w:val="24"/>
          <w:szCs w:val="24"/>
          <w:lang w:eastAsia="ru-RU"/>
        </w:rPr>
        <w:t>Множественность направлений нашла отражение в том, что единый вектор эпохи не был найден, как и не было найдено единственное название для нее: чаще всего употребляемые понятия «модерн» и «символизм» отражают лишь некоторые явления. Прижился поэтический термин Серебряный век, который обозначает не какое-то конкретное направление, но, уравнивая и примиряя все, создает образ этого времени — блестящего и трагического заката Империи.</w:t>
      </w:r>
    </w:p>
    <w:p w:rsidR="00A833AD" w:rsidRPr="00A833AD" w:rsidRDefault="00A833AD" w:rsidP="00A833AD">
      <w:pPr>
        <w:shd w:val="clear" w:color="auto" w:fill="F8FAFC"/>
        <w:spacing w:before="150" w:after="150" w:line="240" w:lineRule="auto"/>
        <w:ind w:firstLine="360"/>
        <w:jc w:val="both"/>
        <w:rPr>
          <w:rFonts w:ascii="OpenSans-Regular" w:eastAsia="Times New Roman" w:hAnsi="OpenSans-Regular" w:cs="Times New Roman"/>
          <w:color w:val="212529"/>
          <w:sz w:val="24"/>
          <w:szCs w:val="24"/>
          <w:lang w:eastAsia="ru-RU"/>
        </w:rPr>
      </w:pPr>
      <w:r w:rsidRPr="00A833AD">
        <w:rPr>
          <w:rFonts w:ascii="OpenSans-Regular" w:eastAsia="Times New Roman" w:hAnsi="OpenSans-Regular" w:cs="Times New Roman"/>
          <w:color w:val="212529"/>
          <w:sz w:val="24"/>
          <w:szCs w:val="24"/>
          <w:lang w:eastAsia="ru-RU"/>
        </w:rPr>
        <w:t>Выявляя то новое и характерное, что каждая из группировок и авторских систем внесла в развитие искусства — портрета, пейзажа, жанровой картины — на уровне смыслов и форм, выставка позволит показать многоголосье стилей и авторских систем, формы их взаимодействия и взаимообогащения.</w:t>
      </w:r>
    </w:p>
    <w:p w:rsidR="00A833AD" w:rsidRPr="00A833AD" w:rsidRDefault="00A833AD" w:rsidP="00A833AD">
      <w:pPr>
        <w:shd w:val="clear" w:color="auto" w:fill="F8FAFC"/>
        <w:spacing w:before="150" w:after="150" w:line="240" w:lineRule="auto"/>
        <w:ind w:firstLine="360"/>
        <w:jc w:val="both"/>
        <w:rPr>
          <w:rFonts w:ascii="OpenSans-Regular" w:eastAsia="Times New Roman" w:hAnsi="OpenSans-Regular" w:cs="Times New Roman"/>
          <w:color w:val="212529"/>
          <w:sz w:val="24"/>
          <w:szCs w:val="24"/>
          <w:lang w:eastAsia="ru-RU"/>
        </w:rPr>
      </w:pPr>
      <w:r w:rsidRPr="00A833AD">
        <w:rPr>
          <w:rFonts w:ascii="OpenSans-Regular" w:eastAsia="Times New Roman" w:hAnsi="OpenSans-Regular" w:cs="Times New Roman"/>
          <w:color w:val="212529"/>
          <w:sz w:val="24"/>
          <w:szCs w:val="24"/>
          <w:lang w:eastAsia="ru-RU"/>
        </w:rPr>
        <w:t xml:space="preserve">В состав экспозиции, построенной вокруг ведущих персонажей эпохи, вошли графические работы Александра Бенуа и Казимира Малевича, Валентина Серова и Марка Шагала, Михаила Врубеля и Василия Кандинского, Льва </w:t>
      </w:r>
      <w:proofErr w:type="spellStart"/>
      <w:r w:rsidRPr="00A833AD">
        <w:rPr>
          <w:rFonts w:ascii="OpenSans-Regular" w:eastAsia="Times New Roman" w:hAnsi="OpenSans-Regular" w:cs="Times New Roman"/>
          <w:color w:val="212529"/>
          <w:sz w:val="24"/>
          <w:szCs w:val="24"/>
          <w:lang w:eastAsia="ru-RU"/>
        </w:rPr>
        <w:t>Бакста</w:t>
      </w:r>
      <w:proofErr w:type="spellEnd"/>
      <w:r w:rsidRPr="00A833AD">
        <w:rPr>
          <w:rFonts w:ascii="OpenSans-Regular" w:eastAsia="Times New Roman" w:hAnsi="OpenSans-Regular" w:cs="Times New Roman"/>
          <w:color w:val="212529"/>
          <w:sz w:val="24"/>
          <w:szCs w:val="24"/>
          <w:lang w:eastAsia="ru-RU"/>
        </w:rPr>
        <w:t xml:space="preserve"> и Михаила Ларионова. Выставка представит наиболее объективный и выразительный портрет эпохи Серебряного века.</w:t>
      </w:r>
    </w:p>
    <w:p w:rsidR="00191011" w:rsidRDefault="00191011"/>
    <w:sectPr w:rsidR="0019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AD"/>
    <w:rsid w:val="00191011"/>
    <w:rsid w:val="00A8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32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06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2026-06-04T10:34:00Z</dcterms:created>
  <dcterms:modified xsi:type="dcterms:W3CDTF">2026-06-04T10:34:00Z</dcterms:modified>
</cp:coreProperties>
</file>