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right"/>
        <w:rPr>
          <w:rFonts w:ascii="Times New Roman" w:hAnsi="Times New Roman"/>
          <w:sz w:val="28"/>
          <w:szCs w:val="28"/>
        </w:rPr>
      </w:pPr>
      <w:r>
        <w:rPr>
          <w:rFonts w:ascii="Times New Roman" w:hAnsi="Times New Roman"/>
          <w:sz w:val="28"/>
          <w:szCs w:val="28"/>
        </w:rPr>
        <w:t>Мельникова Т.В.</w:t>
      </w:r>
    </w:p>
    <w:p>
      <w:pPr>
        <w:pStyle w:val="BodyTextFirstIndent"/>
        <w:bidi w:val="0"/>
        <w:jc w:val="right"/>
        <w:rPr>
          <w:rFonts w:ascii="Times New Roman" w:hAnsi="Times New Roman"/>
          <w:sz w:val="28"/>
          <w:szCs w:val="28"/>
        </w:rPr>
      </w:pPr>
      <w:r>
        <w:rPr>
          <w:rFonts w:ascii="Times New Roman" w:hAnsi="Times New Roman"/>
          <w:sz w:val="28"/>
          <w:szCs w:val="28"/>
        </w:rPr>
        <w:t>Руководитель МО учителей начальных классов</w:t>
      </w:r>
    </w:p>
    <w:p>
      <w:pPr>
        <w:pStyle w:val="BodyTextFirstIndent"/>
        <w:bidi w:val="0"/>
        <w:jc w:val="right"/>
        <w:rPr>
          <w:rFonts w:ascii="Times New Roman" w:hAnsi="Times New Roman"/>
          <w:sz w:val="28"/>
          <w:szCs w:val="28"/>
        </w:rPr>
      </w:pPr>
      <w:r>
        <w:rPr>
          <w:rFonts w:ascii="Times New Roman" w:hAnsi="Times New Roman"/>
          <w:sz w:val="28"/>
          <w:szCs w:val="28"/>
        </w:rPr>
        <w:t>МНБОУ «Лицей №76» г. Новокузнецк</w:t>
      </w:r>
    </w:p>
    <w:p>
      <w:pPr>
        <w:pStyle w:val="BodyTextFirstIndent"/>
        <w:bidi w:val="0"/>
        <w:jc w:val="right"/>
        <w:rPr>
          <w:rFonts w:ascii="Times New Roman" w:hAnsi="Times New Roman"/>
          <w:sz w:val="28"/>
          <w:szCs w:val="28"/>
        </w:rPr>
      </w:pPr>
      <w:r>
        <w:rPr>
          <w:rFonts w:ascii="Times New Roman" w:hAnsi="Times New Roman"/>
          <w:sz w:val="28"/>
          <w:szCs w:val="28"/>
        </w:rPr>
      </w:r>
    </w:p>
    <w:p>
      <w:pPr>
        <w:pStyle w:val="Heading1"/>
        <w:bidi w:val="0"/>
        <w:jc w:val="both"/>
        <w:rPr>
          <w:rFonts w:ascii="Times New Roman" w:hAnsi="Times New Roman"/>
          <w:sz w:val="28"/>
          <w:szCs w:val="28"/>
        </w:rPr>
      </w:pPr>
      <w:r>
        <w:rPr>
          <w:rFonts w:ascii="Times New Roman" w:hAnsi="Times New Roman"/>
          <w:sz w:val="28"/>
          <w:szCs w:val="28"/>
        </w:rPr>
        <w:t>Интеграция нейрогимнастики в образовательную среду начальной школы</w:t>
      </w:r>
    </w:p>
    <w:p>
      <w:pPr>
        <w:pStyle w:val="BodyText"/>
        <w:bidi w:val="0"/>
        <w:spacing w:before="0" w:after="283"/>
        <w:ind w:hanging="0" w:left="0" w:right="0"/>
        <w:jc w:val="both"/>
        <w:rPr>
          <w:rFonts w:ascii="Times New Roman" w:hAnsi="Times New Roman"/>
          <w:sz w:val="28"/>
          <w:szCs w:val="28"/>
        </w:rPr>
      </w:pPr>
      <w:r>
        <w:rPr>
          <w:rFonts w:ascii="Times New Roman" w:hAnsi="Times New Roman"/>
          <w:sz w:val="28"/>
          <w:szCs w:val="28"/>
        </w:rPr>
        <w:t>Современная начальная школа ставит перед п</w:t>
      </w:r>
      <w:r>
        <w:rPr>
          <w:rFonts w:ascii="Times New Roman" w:hAnsi="Times New Roman"/>
          <w:sz w:val="28"/>
          <w:szCs w:val="28"/>
        </w:rPr>
        <w:t>едагогами</w:t>
      </w:r>
      <w:r>
        <w:rPr>
          <w:rFonts w:ascii="Times New Roman" w:hAnsi="Times New Roman"/>
          <w:sz w:val="28"/>
          <w:szCs w:val="28"/>
        </w:rPr>
        <w:t xml:space="preserve"> двойственную задачу: не только обеспечить освоение академической программы в условиях высокой нагрузки и цифровизации, но и сохранить психофизическое здоровье учащихся. Эффективным инструментом для достижения этой цели выступает нейрогимнастика — комплекс специализированных упражнений, нацеленный на стимуляцию когнитивных функций, развитие координации, внимания и мнемических способностей. Внедрение данной методики позволяет повысить продуктивность обучения и способствует всестороннему развитию личности младшего школьника.</w:t>
      </w:r>
    </w:p>
    <w:p>
      <w:pPr>
        <w:pStyle w:val="Heading2"/>
        <w:bidi w:val="0"/>
        <w:spacing w:before="0" w:after="283"/>
        <w:ind w:hanging="0" w:left="0" w:right="0"/>
        <w:jc w:val="both"/>
        <w:rPr>
          <w:rFonts w:ascii="Times New Roman" w:hAnsi="Times New Roman"/>
          <w:sz w:val="28"/>
          <w:szCs w:val="28"/>
        </w:rPr>
      </w:pPr>
      <w:r>
        <w:rPr>
          <w:rFonts w:ascii="Times New Roman" w:hAnsi="Times New Roman"/>
          <w:sz w:val="28"/>
          <w:szCs w:val="28"/>
        </w:rPr>
        <w:t>Теоретическая база и актуальность проблемы</w:t>
      </w:r>
    </w:p>
    <w:p>
      <w:pPr>
        <w:pStyle w:val="BodyText"/>
        <w:bidi w:val="0"/>
        <w:spacing w:before="0" w:after="283"/>
        <w:ind w:hanging="0" w:left="0" w:right="0"/>
        <w:jc w:val="both"/>
        <w:rPr>
          <w:rFonts w:ascii="Times New Roman" w:hAnsi="Times New Roman"/>
          <w:sz w:val="28"/>
          <w:szCs w:val="28"/>
        </w:rPr>
      </w:pPr>
      <w:r>
        <w:rPr>
          <w:rFonts w:ascii="Times New Roman" w:hAnsi="Times New Roman"/>
          <w:sz w:val="28"/>
          <w:szCs w:val="28"/>
        </w:rPr>
        <w:t>Нейрогимнастика представляет собой систему телесно-ориентированных практик, которые через двигательную активность оказывают мягкое стимулирующее воздействие на церебральные структуры. Младший школьный возраст характеризуется максимальной нейропластичностью мозга, что является благодатной почвой для формирования базовых когнитивных навыков. Систематические занятия способствуют синхронизации работы полушарий, укреплению межполушарных связей и оптимизации процессов памяти, концентрации и мышления. Кроме того, упражнения являются действенным средством для снятия мышечного гипертонуса и снижения уровня стресса, что критически важно для первоклассников в период адаптации к школьной среде.</w:t>
      </w:r>
    </w:p>
    <w:p>
      <w:pPr>
        <w:pStyle w:val="Heading2"/>
        <w:bidi w:val="0"/>
        <w:spacing w:before="0" w:after="283"/>
        <w:ind w:hanging="0" w:left="0" w:right="0"/>
        <w:jc w:val="both"/>
        <w:rPr>
          <w:rFonts w:ascii="Times New Roman" w:hAnsi="Times New Roman"/>
          <w:sz w:val="28"/>
          <w:szCs w:val="28"/>
        </w:rPr>
      </w:pPr>
      <w:r>
        <w:rPr>
          <w:rFonts w:ascii="Times New Roman" w:hAnsi="Times New Roman"/>
          <w:sz w:val="28"/>
          <w:szCs w:val="28"/>
        </w:rPr>
        <w:t>Методика практической интеграции в урок</w:t>
      </w:r>
    </w:p>
    <w:p>
      <w:pPr>
        <w:pStyle w:val="BodyText"/>
        <w:bidi w:val="0"/>
        <w:spacing w:before="0" w:after="283"/>
        <w:ind w:hanging="0" w:left="0" w:right="0"/>
        <w:jc w:val="both"/>
        <w:rPr/>
      </w:pPr>
      <w:r>
        <w:rPr>
          <w:rFonts w:ascii="Times New Roman" w:hAnsi="Times New Roman"/>
          <w:sz w:val="28"/>
          <w:szCs w:val="28"/>
        </w:rPr>
        <w:t>Встраивание элементов нейрогимнастики в учебный процесс не требует перепланирования сетки занятий. Упражнения органично включаются в канву урока как динамические паузы (</w:t>
      </w:r>
      <w:r>
        <w:rPr>
          <w:rStyle w:val="Emphasis"/>
          <w:rFonts w:ascii="Times New Roman" w:hAnsi="Times New Roman"/>
          <w:sz w:val="28"/>
          <w:szCs w:val="28"/>
        </w:rPr>
        <w:t>физминутки</w:t>
      </w:r>
      <w:r>
        <w:rPr>
          <w:rFonts w:ascii="Times New Roman" w:hAnsi="Times New Roman"/>
          <w:sz w:val="28"/>
          <w:szCs w:val="28"/>
        </w:rPr>
        <w:t>) продолжительностью от двух до пяти минут.</w:t>
      </w:r>
    </w:p>
    <w:p>
      <w:pPr>
        <w:pStyle w:val="BodyText"/>
        <w:numPr>
          <w:ilvl w:val="0"/>
          <w:numId w:val="4"/>
        </w:numPr>
        <w:tabs>
          <w:tab w:val="clear" w:pos="709"/>
          <w:tab w:val="left" w:pos="709" w:leader="none"/>
        </w:tabs>
        <w:bidi w:val="0"/>
        <w:spacing w:before="0" w:after="283"/>
        <w:ind w:hanging="283" w:left="709" w:right="0"/>
        <w:jc w:val="both"/>
        <w:rPr/>
      </w:pPr>
      <w:r>
        <w:rPr>
          <w:rFonts w:ascii="Times New Roman" w:hAnsi="Times New Roman"/>
          <w:b/>
          <w:sz w:val="28"/>
          <w:szCs w:val="28"/>
        </w:rPr>
        <w:t>Дыхательные практики.</w:t>
      </w:r>
      <w:r>
        <w:rPr>
          <w:rFonts w:ascii="Times New Roman" w:hAnsi="Times New Roman"/>
          <w:sz w:val="28"/>
          <w:szCs w:val="28"/>
        </w:rPr>
        <w:t xml:space="preserve"> </w:t>
      </w:r>
      <w:r>
        <w:rPr>
          <w:rStyle w:val="Emphasis"/>
          <w:rFonts w:ascii="Times New Roman" w:hAnsi="Times New Roman"/>
          <w:sz w:val="28"/>
          <w:szCs w:val="28"/>
        </w:rPr>
        <w:t>Цель:</w:t>
      </w:r>
      <w:r>
        <w:rPr>
          <w:rFonts w:ascii="Times New Roman" w:hAnsi="Times New Roman"/>
          <w:sz w:val="28"/>
          <w:szCs w:val="28"/>
        </w:rPr>
        <w:t xml:space="preserve"> оксигенация тканей мозга, снижение тревожности. </w:t>
      </w:r>
      <w:r>
        <w:rPr>
          <w:rStyle w:val="Emphasis"/>
          <w:rFonts w:ascii="Times New Roman" w:hAnsi="Times New Roman"/>
          <w:sz w:val="28"/>
          <w:szCs w:val="28"/>
        </w:rPr>
        <w:t>Пример:</w:t>
      </w:r>
      <w:r>
        <w:rPr>
          <w:rFonts w:ascii="Times New Roman" w:hAnsi="Times New Roman"/>
          <w:sz w:val="28"/>
          <w:szCs w:val="28"/>
        </w:rPr>
        <w:t xml:space="preserve"> «Надувание облака». Ученики кладут ладони на диафрагму и выполняют медленный вдох носом, представляя, как наполняют живот воздухом, словно воздушный шар. Затем следует плавный выдох ртом.</w:t>
      </w:r>
    </w:p>
    <w:p>
      <w:pPr>
        <w:pStyle w:val="BodyText"/>
        <w:numPr>
          <w:ilvl w:val="0"/>
          <w:numId w:val="4"/>
        </w:numPr>
        <w:tabs>
          <w:tab w:val="clear" w:pos="709"/>
          <w:tab w:val="left" w:pos="709" w:leader="none"/>
        </w:tabs>
        <w:bidi w:val="0"/>
        <w:spacing w:before="0" w:after="283"/>
        <w:ind w:hanging="283" w:left="709" w:right="0"/>
        <w:jc w:val="both"/>
        <w:rPr/>
      </w:pPr>
      <w:r>
        <w:rPr>
          <w:rFonts w:ascii="Times New Roman" w:hAnsi="Times New Roman"/>
          <w:b/>
          <w:sz w:val="28"/>
          <w:szCs w:val="28"/>
        </w:rPr>
        <w:t>Зрительная гимнастика.</w:t>
      </w:r>
      <w:r>
        <w:rPr>
          <w:rFonts w:ascii="Times New Roman" w:hAnsi="Times New Roman"/>
          <w:sz w:val="28"/>
          <w:szCs w:val="28"/>
        </w:rPr>
        <w:t xml:space="preserve"> </w:t>
      </w:r>
      <w:r>
        <w:rPr>
          <w:rStyle w:val="Emphasis"/>
          <w:rFonts w:ascii="Times New Roman" w:hAnsi="Times New Roman"/>
          <w:sz w:val="28"/>
          <w:szCs w:val="28"/>
        </w:rPr>
        <w:t>Цель:</w:t>
      </w:r>
      <w:r>
        <w:rPr>
          <w:rFonts w:ascii="Times New Roman" w:hAnsi="Times New Roman"/>
          <w:sz w:val="28"/>
          <w:szCs w:val="28"/>
        </w:rPr>
        <w:t xml:space="preserve"> профилактика астенопии (зрительного утомления). </w:t>
      </w:r>
      <w:r>
        <w:rPr>
          <w:rStyle w:val="Emphasis"/>
          <w:rFonts w:ascii="Times New Roman" w:hAnsi="Times New Roman"/>
          <w:sz w:val="28"/>
          <w:szCs w:val="28"/>
        </w:rPr>
        <w:t>Пример:</w:t>
      </w:r>
      <w:r>
        <w:rPr>
          <w:rFonts w:ascii="Times New Roman" w:hAnsi="Times New Roman"/>
          <w:sz w:val="28"/>
          <w:szCs w:val="28"/>
        </w:rPr>
        <w:t xml:space="preserve"> «Горизонтальный маятник». Взглядом дети плавно отслеживают траекторию движения указки учителя, которая описывает знак бесконечности на уровне глаз.</w:t>
      </w:r>
    </w:p>
    <w:p>
      <w:pPr>
        <w:pStyle w:val="BodyText"/>
        <w:numPr>
          <w:ilvl w:val="0"/>
          <w:numId w:val="4"/>
        </w:numPr>
        <w:tabs>
          <w:tab w:val="clear" w:pos="709"/>
          <w:tab w:val="left" w:pos="709" w:leader="none"/>
        </w:tabs>
        <w:bidi w:val="0"/>
        <w:spacing w:before="0" w:after="283"/>
        <w:ind w:hanging="283" w:left="709" w:right="0"/>
        <w:jc w:val="both"/>
        <w:rPr/>
      </w:pPr>
      <w:r>
        <w:rPr>
          <w:rFonts w:ascii="Times New Roman" w:hAnsi="Times New Roman"/>
          <w:b/>
          <w:sz w:val="28"/>
          <w:szCs w:val="28"/>
        </w:rPr>
        <w:t>Моторные блоки и активация межполушарного взаимодействия.</w:t>
      </w:r>
      <w:r>
        <w:rPr>
          <w:rFonts w:ascii="Times New Roman" w:hAnsi="Times New Roman"/>
          <w:sz w:val="28"/>
          <w:szCs w:val="28"/>
        </w:rPr>
        <w:t xml:space="preserve"> </w:t>
      </w:r>
      <w:r>
        <w:rPr>
          <w:rStyle w:val="Emphasis"/>
          <w:rFonts w:ascii="Times New Roman" w:hAnsi="Times New Roman"/>
          <w:sz w:val="28"/>
          <w:szCs w:val="28"/>
        </w:rPr>
        <w:t>Цель:</w:t>
      </w:r>
      <w:r>
        <w:rPr>
          <w:rFonts w:ascii="Times New Roman" w:hAnsi="Times New Roman"/>
          <w:sz w:val="28"/>
          <w:szCs w:val="28"/>
        </w:rPr>
        <w:t xml:space="preserve"> улучшение билатеральной координации и фокусировки внимания. </w:t>
      </w:r>
      <w:r>
        <w:rPr>
          <w:rStyle w:val="Emphasis"/>
          <w:rFonts w:ascii="Times New Roman" w:hAnsi="Times New Roman"/>
          <w:sz w:val="28"/>
          <w:szCs w:val="28"/>
        </w:rPr>
        <w:t>Пример:</w:t>
      </w:r>
      <w:r>
        <w:rPr>
          <w:rFonts w:ascii="Times New Roman" w:hAnsi="Times New Roman"/>
          <w:sz w:val="28"/>
          <w:szCs w:val="28"/>
        </w:rPr>
        <w:t xml:space="preserve"> «Крест-накрест». Из положения стоя выполняется поочередное касание правой рукой левого колена и левой рукой правого колена в ритме счета. </w:t>
      </w:r>
      <w:r>
        <w:rPr>
          <w:rStyle w:val="Emphasis"/>
          <w:rFonts w:ascii="Times New Roman" w:hAnsi="Times New Roman"/>
          <w:sz w:val="28"/>
          <w:szCs w:val="28"/>
        </w:rPr>
        <w:t>Пример:</w:t>
      </w:r>
      <w:r>
        <w:rPr>
          <w:rFonts w:ascii="Times New Roman" w:hAnsi="Times New Roman"/>
          <w:sz w:val="28"/>
          <w:szCs w:val="28"/>
        </w:rPr>
        <w:t xml:space="preserve"> «Тень». Работа в парах, где один ученик («объект») выполняет серию произвольных движений, а второй («тень») должен мгновенно и точно их копировать.</w:t>
      </w:r>
    </w:p>
    <w:p>
      <w:pPr>
        <w:pStyle w:val="BodyText"/>
        <w:numPr>
          <w:ilvl w:val="0"/>
          <w:numId w:val="4"/>
        </w:numPr>
        <w:tabs>
          <w:tab w:val="clear" w:pos="709"/>
          <w:tab w:val="left" w:pos="709" w:leader="none"/>
        </w:tabs>
        <w:bidi w:val="0"/>
        <w:spacing w:before="0" w:after="283"/>
        <w:ind w:hanging="283" w:left="709" w:right="0"/>
        <w:jc w:val="both"/>
        <w:rPr/>
      </w:pPr>
      <w:r>
        <w:rPr>
          <w:rFonts w:ascii="Times New Roman" w:hAnsi="Times New Roman"/>
          <w:b/>
          <w:sz w:val="28"/>
          <w:szCs w:val="28"/>
        </w:rPr>
        <w:t>Ритмо-двигательная активность.</w:t>
      </w:r>
      <w:r>
        <w:rPr>
          <w:rFonts w:ascii="Times New Roman" w:hAnsi="Times New Roman"/>
          <w:sz w:val="28"/>
          <w:szCs w:val="28"/>
        </w:rPr>
        <w:t xml:space="preserve"> </w:t>
      </w:r>
      <w:r>
        <w:rPr>
          <w:rStyle w:val="Emphasis"/>
          <w:rFonts w:ascii="Times New Roman" w:hAnsi="Times New Roman"/>
          <w:sz w:val="28"/>
          <w:szCs w:val="28"/>
        </w:rPr>
        <w:t>Цель:</w:t>
      </w:r>
      <w:r>
        <w:rPr>
          <w:rFonts w:ascii="Times New Roman" w:hAnsi="Times New Roman"/>
          <w:sz w:val="28"/>
          <w:szCs w:val="28"/>
        </w:rPr>
        <w:t xml:space="preserve"> развитие слухового анализатора и чувства темпа. </w:t>
      </w:r>
      <w:r>
        <w:rPr>
          <w:rStyle w:val="Emphasis"/>
          <w:rFonts w:ascii="Times New Roman" w:hAnsi="Times New Roman"/>
          <w:sz w:val="28"/>
          <w:szCs w:val="28"/>
        </w:rPr>
        <w:t>Пример:</w:t>
      </w:r>
      <w:r>
        <w:rPr>
          <w:rFonts w:ascii="Times New Roman" w:hAnsi="Times New Roman"/>
          <w:sz w:val="28"/>
          <w:szCs w:val="28"/>
        </w:rPr>
        <w:t xml:space="preserve"> «Эхо». Педагог задает хлопками определенный ритмический рисунок (например, два хлопка по бедрам, один — в ладоши). Задача учеников — воспроизвести заданный паттерн. По мере освоения сложность увеличивается.</w:t>
      </w:r>
    </w:p>
    <w:p>
      <w:pPr>
        <w:pStyle w:val="BodyText"/>
        <w:numPr>
          <w:ilvl w:val="0"/>
          <w:numId w:val="4"/>
        </w:numPr>
        <w:tabs>
          <w:tab w:val="clear" w:pos="709"/>
          <w:tab w:val="left" w:pos="709" w:leader="none"/>
        </w:tabs>
        <w:bidi w:val="0"/>
        <w:spacing w:before="0" w:after="283"/>
        <w:ind w:hanging="283" w:left="709" w:right="0"/>
        <w:jc w:val="both"/>
        <w:rPr/>
      </w:pPr>
      <w:r>
        <w:rPr>
          <w:rFonts w:ascii="Times New Roman" w:hAnsi="Times New Roman"/>
          <w:b/>
          <w:sz w:val="28"/>
          <w:szCs w:val="28"/>
        </w:rPr>
        <w:t>Упражнения на стимуляцию мозжечка.</w:t>
      </w:r>
      <w:r>
        <w:rPr>
          <w:rFonts w:ascii="Times New Roman" w:hAnsi="Times New Roman"/>
          <w:sz w:val="28"/>
          <w:szCs w:val="28"/>
        </w:rPr>
        <w:t xml:space="preserve"> </w:t>
      </w:r>
      <w:r>
        <w:rPr>
          <w:rStyle w:val="Emphasis"/>
          <w:rFonts w:ascii="Times New Roman" w:hAnsi="Times New Roman"/>
          <w:sz w:val="28"/>
          <w:szCs w:val="28"/>
        </w:rPr>
        <w:t>Цель:</w:t>
      </w:r>
      <w:r>
        <w:rPr>
          <w:rFonts w:ascii="Times New Roman" w:hAnsi="Times New Roman"/>
          <w:sz w:val="28"/>
          <w:szCs w:val="28"/>
        </w:rPr>
        <w:t xml:space="preserve"> тренировка баланса, крупной моторики и проприоцепции. </w:t>
      </w:r>
      <w:r>
        <w:rPr>
          <w:rStyle w:val="Emphasis"/>
          <w:rFonts w:ascii="Times New Roman" w:hAnsi="Times New Roman"/>
          <w:sz w:val="28"/>
          <w:szCs w:val="28"/>
        </w:rPr>
        <w:t>Пример:</w:t>
      </w:r>
      <w:r>
        <w:rPr>
          <w:rFonts w:ascii="Times New Roman" w:hAnsi="Times New Roman"/>
          <w:sz w:val="28"/>
          <w:szCs w:val="28"/>
        </w:rPr>
        <w:t xml:space="preserve"> «Аист». Принятие позы цапли: стояние на одной ноге с разведенными в стороны руками и удержанием равновесия в течение 10–15 секунд с последующей сменой опорной конечности.</w:t>
      </w:r>
    </w:p>
    <w:p>
      <w:pPr>
        <w:pStyle w:val="BodyText"/>
        <w:bidi w:val="0"/>
        <w:spacing w:before="0" w:after="283"/>
        <w:ind w:hanging="0" w:left="0" w:right="0"/>
        <w:jc w:val="both"/>
        <w:rPr>
          <w:rFonts w:ascii="Times New Roman" w:hAnsi="Times New Roman"/>
          <w:sz w:val="28"/>
          <w:szCs w:val="28"/>
        </w:rPr>
      </w:pPr>
      <w:r>
        <w:rPr>
          <w:rFonts w:ascii="Times New Roman" w:hAnsi="Times New Roman"/>
          <w:sz w:val="28"/>
          <w:szCs w:val="28"/>
        </w:rPr>
        <w:t>Данные комплексы рекомендуется выполнять систематически, чередуя различные блоки для поддержания познавательного интереса у детей. Ключевыми принципами являются цикличность повторений и постепенное усложнение двигательных задач.</w:t>
      </w:r>
    </w:p>
    <w:p>
      <w:pPr>
        <w:pStyle w:val="Heading2"/>
        <w:bidi w:val="0"/>
        <w:spacing w:before="0" w:after="283"/>
        <w:ind w:hanging="0" w:left="0" w:right="0"/>
        <w:jc w:val="both"/>
        <w:rPr>
          <w:rFonts w:ascii="Times New Roman" w:hAnsi="Times New Roman"/>
          <w:sz w:val="28"/>
          <w:szCs w:val="28"/>
        </w:rPr>
      </w:pPr>
      <w:r>
        <w:rPr>
          <w:rFonts w:ascii="Times New Roman" w:hAnsi="Times New Roman"/>
          <w:sz w:val="28"/>
          <w:szCs w:val="28"/>
        </w:rPr>
        <w:t>Анализ результатов применения</w:t>
      </w:r>
    </w:p>
    <w:p>
      <w:pPr>
        <w:pStyle w:val="BodyText"/>
        <w:bidi w:val="0"/>
        <w:spacing w:before="0" w:after="283"/>
        <w:ind w:hanging="0" w:left="0" w:right="0"/>
        <w:jc w:val="both"/>
        <w:rPr>
          <w:rFonts w:ascii="Times New Roman" w:hAnsi="Times New Roman"/>
          <w:sz w:val="28"/>
          <w:szCs w:val="28"/>
        </w:rPr>
      </w:pPr>
      <w:r>
        <w:rPr>
          <w:rFonts w:ascii="Times New Roman" w:hAnsi="Times New Roman"/>
          <w:sz w:val="28"/>
          <w:szCs w:val="28"/>
        </w:rPr>
        <w:t>Педагогический опыт подтверждает высокую результативность внедрения нейрогимнастики. Проведенные диагностические срезы после двух месяцев регулярных занятий зафиксировали следующие позитивные изменения:</w:t>
      </w:r>
    </w:p>
    <w:p>
      <w:pPr>
        <w:pStyle w:val="BodyText"/>
        <w:numPr>
          <w:ilvl w:val="0"/>
          <w:numId w:val="5"/>
        </w:numPr>
        <w:tabs>
          <w:tab w:val="clear" w:pos="709"/>
          <w:tab w:val="left" w:pos="709" w:leader="none"/>
        </w:tabs>
        <w:bidi w:val="0"/>
        <w:ind w:hanging="283" w:left="709" w:right="0"/>
        <w:jc w:val="both"/>
        <w:rPr>
          <w:rFonts w:ascii="Times New Roman" w:hAnsi="Times New Roman"/>
          <w:sz w:val="28"/>
          <w:szCs w:val="28"/>
        </w:rPr>
      </w:pPr>
      <w:r>
        <w:rPr>
          <w:rFonts w:ascii="Times New Roman" w:hAnsi="Times New Roman"/>
          <w:b/>
          <w:sz w:val="28"/>
          <w:szCs w:val="28"/>
        </w:rPr>
        <w:t>Рост показателей внимания:</w:t>
      </w:r>
      <w:r>
        <w:rPr>
          <w:rFonts w:ascii="Times New Roman" w:hAnsi="Times New Roman"/>
          <w:sz w:val="28"/>
          <w:szCs w:val="28"/>
        </w:rPr>
        <w:t xml:space="preserve"> учащиеся демонстрируют более быструю врабатываемость в начале урока и способность дольше удерживать концентрацию на учебных задачах.</w:t>
      </w:r>
    </w:p>
    <w:p>
      <w:pPr>
        <w:pStyle w:val="BodyText"/>
        <w:numPr>
          <w:ilvl w:val="0"/>
          <w:numId w:val="5"/>
        </w:numPr>
        <w:tabs>
          <w:tab w:val="clear" w:pos="709"/>
          <w:tab w:val="left" w:pos="709" w:leader="none"/>
        </w:tabs>
        <w:bidi w:val="0"/>
        <w:ind w:hanging="283" w:left="709" w:right="0"/>
        <w:jc w:val="both"/>
        <w:rPr>
          <w:rFonts w:ascii="Times New Roman" w:hAnsi="Times New Roman"/>
          <w:sz w:val="28"/>
          <w:szCs w:val="28"/>
        </w:rPr>
      </w:pPr>
      <w:r>
        <w:rPr>
          <w:rFonts w:ascii="Times New Roman" w:hAnsi="Times New Roman"/>
          <w:b/>
          <w:sz w:val="28"/>
          <w:szCs w:val="28"/>
        </w:rPr>
        <w:t>Усиление учебной мотивации:</w:t>
      </w:r>
      <w:r>
        <w:rPr>
          <w:rFonts w:ascii="Times New Roman" w:hAnsi="Times New Roman"/>
          <w:sz w:val="28"/>
          <w:szCs w:val="28"/>
        </w:rPr>
        <w:t xml:space="preserve"> уроки приобретают большую динамику и эмоциональную привлекательность, что формирует положительное отношение к учебному процессу.</w:t>
      </w:r>
    </w:p>
    <w:p>
      <w:pPr>
        <w:pStyle w:val="BodyText"/>
        <w:numPr>
          <w:ilvl w:val="0"/>
          <w:numId w:val="5"/>
        </w:numPr>
        <w:tabs>
          <w:tab w:val="clear" w:pos="709"/>
          <w:tab w:val="left" w:pos="709" w:leader="none"/>
        </w:tabs>
        <w:bidi w:val="0"/>
        <w:ind w:hanging="283" w:left="709" w:right="0"/>
        <w:jc w:val="both"/>
        <w:rPr>
          <w:rFonts w:ascii="Times New Roman" w:hAnsi="Times New Roman"/>
          <w:sz w:val="28"/>
          <w:szCs w:val="28"/>
        </w:rPr>
      </w:pPr>
      <w:r>
        <w:rPr>
          <w:rFonts w:ascii="Times New Roman" w:hAnsi="Times New Roman"/>
          <w:b/>
          <w:sz w:val="28"/>
          <w:szCs w:val="28"/>
        </w:rPr>
        <w:t>Совершенствование коммуникативных компетенций:</w:t>
      </w:r>
      <w:r>
        <w:rPr>
          <w:rFonts w:ascii="Times New Roman" w:hAnsi="Times New Roman"/>
          <w:sz w:val="28"/>
          <w:szCs w:val="28"/>
        </w:rPr>
        <w:t xml:space="preserve"> парные и групповые форматы работы («Тень», пальчиковые игры) улучшают навыки невербального общения и кооперации в детском коллективе.</w:t>
      </w:r>
    </w:p>
    <w:p>
      <w:pPr>
        <w:pStyle w:val="BodyText"/>
        <w:numPr>
          <w:ilvl w:val="0"/>
          <w:numId w:val="5"/>
        </w:numPr>
        <w:tabs>
          <w:tab w:val="clear" w:pos="709"/>
          <w:tab w:val="left" w:pos="709" w:leader="none"/>
        </w:tabs>
        <w:bidi w:val="0"/>
        <w:ind w:hanging="283" w:left="709" w:right="0"/>
        <w:jc w:val="both"/>
        <w:rPr>
          <w:rFonts w:ascii="Times New Roman" w:hAnsi="Times New Roman"/>
          <w:sz w:val="28"/>
          <w:szCs w:val="28"/>
        </w:rPr>
      </w:pPr>
      <w:r>
        <w:rPr>
          <w:rFonts w:ascii="Times New Roman" w:hAnsi="Times New Roman"/>
          <w:b/>
          <w:sz w:val="28"/>
          <w:szCs w:val="28"/>
        </w:rPr>
        <w:t>Стабилизация психоэмоционального состояния:</w:t>
      </w:r>
      <w:r>
        <w:rPr>
          <w:rFonts w:ascii="Times New Roman" w:hAnsi="Times New Roman"/>
          <w:sz w:val="28"/>
          <w:szCs w:val="28"/>
        </w:rPr>
        <w:t xml:space="preserve"> регулярные двигательные перерывы эффективно нивелируют накопившееся напряжение, способствуя снижению общей тревожности и утомляемости класса.</w:t>
      </w:r>
    </w:p>
    <w:p>
      <w:pPr>
        <w:pStyle w:val="BodyText"/>
        <w:numPr>
          <w:ilvl w:val="0"/>
          <w:numId w:val="5"/>
        </w:numPr>
        <w:tabs>
          <w:tab w:val="clear" w:pos="709"/>
          <w:tab w:val="left" w:pos="709" w:leader="none"/>
        </w:tabs>
        <w:bidi w:val="0"/>
        <w:spacing w:before="0" w:after="283"/>
        <w:ind w:hanging="283" w:left="709" w:right="0"/>
        <w:jc w:val="both"/>
        <w:rPr>
          <w:rFonts w:ascii="Times New Roman" w:hAnsi="Times New Roman"/>
          <w:sz w:val="28"/>
          <w:szCs w:val="28"/>
        </w:rPr>
      </w:pPr>
      <w:r>
        <w:rPr>
          <w:rFonts w:ascii="Times New Roman" w:hAnsi="Times New Roman"/>
          <w:b/>
          <w:sz w:val="28"/>
          <w:szCs w:val="28"/>
        </w:rPr>
        <w:t>Развитие моторной сферы:</w:t>
      </w:r>
      <w:r>
        <w:rPr>
          <w:rFonts w:ascii="Times New Roman" w:hAnsi="Times New Roman"/>
          <w:sz w:val="28"/>
          <w:szCs w:val="28"/>
        </w:rPr>
        <w:t xml:space="preserve"> наблюдается значительный прогресс как в мелкой моторике (что напрямую влияет на каллиграфию), так и в общей координации движений.</w:t>
      </w:r>
    </w:p>
    <w:p>
      <w:pPr>
        <w:pStyle w:val="BodyText"/>
        <w:bidi w:val="0"/>
        <w:spacing w:before="0" w:after="283"/>
        <w:ind w:hanging="0" w:left="0" w:right="0"/>
        <w:jc w:val="both"/>
        <w:rPr>
          <w:rFonts w:ascii="Times New Roman" w:hAnsi="Times New Roman"/>
          <w:sz w:val="28"/>
          <w:szCs w:val="28"/>
        </w:rPr>
      </w:pPr>
      <w:r>
        <w:rPr>
          <w:rFonts w:ascii="Times New Roman" w:hAnsi="Times New Roman"/>
          <w:sz w:val="28"/>
          <w:szCs w:val="28"/>
        </w:rPr>
        <w:t>Таким образом, нейрогимнастика трансформируется из простого дополнения к традиционным физкультминуткам в мощный инструмент создания благоприятного психологического климата и повышения общей эффективности образовательного процесса. Ее систематическое применение закладывает надежный фундамент для академических успехов и гармоничного развития каждого ребенка, являясь научно обоснованным ответом на вызовы современной педагогики.</w:t>
      </w:r>
    </w:p>
    <w:p>
      <w:pPr>
        <w:pStyle w:val="BodyTextFirstIndent"/>
        <w:bidi w:val="0"/>
        <w:jc w:val="both"/>
        <w:rPr>
          <w:rFonts w:ascii="Times New Roman" w:hAnsi="Times New Roman"/>
          <w:sz w:val="28"/>
          <w:szCs w:val="28"/>
        </w:rPr>
      </w:pPr>
      <w:r>
        <w:rPr>
          <w:rFonts w:ascii="Times New Roman" w:hAnsi="Times New Roman"/>
          <w:sz w:val="28"/>
          <w:szCs w:val="28"/>
        </w:rPr>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Times New Roman">
    <w:charset w:val="01"/>
    <w:family w:val="roman"/>
    <w:pitch w:val="variable"/>
  </w:font>
  <w:font w:name="PT Astra Serif">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val="0"/>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fldChar w:fldCharType="begin"/>
    </w:r>
    <w:r>
      <w:rPr/>
      <w:instrText xml:space="preserve"> PAGE </w:instrText>
    </w:r>
    <w:r>
      <w:rPr/>
      <w:fldChar w:fldCharType="separate"/>
    </w:r>
    <w:r>
      <w:rPr/>
      <w:t>3</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Comment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2"/>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3"/>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2">
    <w:name w:val="Верхний колонтитул слева"/>
    <w:basedOn w:val="Normal"/>
    <w:qFormat/>
    <w:pPr>
      <w:tabs>
        <w:tab w:val="clear" w:pos="709"/>
        <w:tab w:val="center" w:pos="4819" w:leader="none"/>
        <w:tab w:val="right" w:pos="9638" w:leader="none"/>
      </w:tabs>
      <w:jc w:val="left"/>
    </w:pPr>
    <w:rPr/>
  </w:style>
  <w:style w:type="paragraph" w:styleId="Style33">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4">
    <w:name w:val="Нижний колонтитул слева"/>
    <w:basedOn w:val="Normal"/>
    <w:qFormat/>
    <w:pPr>
      <w:tabs>
        <w:tab w:val="clear" w:pos="709"/>
        <w:tab w:val="center" w:pos="4819" w:leader="none"/>
        <w:tab w:val="right" w:pos="9638" w:leader="none"/>
      </w:tabs>
      <w:jc w:val="left"/>
    </w:pPr>
    <w:rPr/>
  </w:style>
  <w:style w:type="paragraph" w:styleId="Style35">
    <w:name w:val="Нижний колонтитул справа"/>
    <w:basedOn w:val="Normal"/>
    <w:qFormat/>
    <w:pPr>
      <w:tabs>
        <w:tab w:val="clear" w:pos="709"/>
        <w:tab w:val="center" w:pos="4819" w:leader="none"/>
        <w:tab w:val="right" w:pos="9638" w:leader="none"/>
      </w:tabs>
      <w:jc w:val="right"/>
    </w:pPr>
    <w:rPr/>
  </w:style>
  <w:style w:type="paragraph" w:styleId="Style36">
    <w:name w:val="Содержимое таблицы"/>
    <w:basedOn w:val="Normal"/>
    <w:qFormat/>
    <w:pPr/>
    <w:rPr/>
  </w:style>
  <w:style w:type="paragraph" w:styleId="Style37">
    <w:name w:val="Заголовок таблицы"/>
    <w:basedOn w:val="Style36"/>
    <w:qFormat/>
    <w:pPr>
      <w:jc w:val="center"/>
    </w:pPr>
    <w:rPr>
      <w:b/>
    </w:rPr>
  </w:style>
  <w:style w:type="paragraph" w:styleId="Style38">
    <w:name w:val="Иллюстрация"/>
    <w:basedOn w:val="Caption"/>
    <w:qFormat/>
    <w:pPr/>
    <w:rPr/>
  </w:style>
  <w:style w:type="paragraph" w:styleId="Style39">
    <w:name w:val="Таблица"/>
    <w:basedOn w:val="Caption"/>
    <w:qFormat/>
    <w:pPr/>
    <w:rPr/>
  </w:style>
  <w:style w:type="paragraph" w:styleId="Style40">
    <w:name w:val="Текст"/>
    <w:basedOn w:val="Caption"/>
    <w:qFormat/>
    <w:pPr/>
    <w:rPr/>
  </w:style>
  <w:style w:type="paragraph" w:styleId="Style41">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2">
    <w:name w:val="Рисунок"/>
    <w:basedOn w:val="Caption"/>
    <w:qFormat/>
    <w:pPr/>
    <w:rPr/>
  </w:style>
  <w:style w:type="paragraph" w:styleId="Style43">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4">
    <w:name w:val="Горизонтальная линия"/>
    <w:basedOn w:val="Normal"/>
    <w:next w:val="BodyText"/>
    <w:qFormat/>
    <w:pPr>
      <w:pBdr>
        <w:bottom w:val="single" w:sz="8" w:space="0" w:color="000000"/>
      </w:pBdr>
      <w:spacing w:before="0" w:after="0"/>
    </w:pPr>
    <w:rPr>
      <w:sz w:val="4"/>
      <w:szCs w:val="24"/>
    </w:rPr>
  </w:style>
  <w:style w:type="paragraph" w:styleId="Style45">
    <w:name w:val="Содержимое списка"/>
    <w:basedOn w:val="Normal"/>
    <w:qFormat/>
    <w:pPr>
      <w:ind w:hanging="0" w:left="0" w:right="0"/>
    </w:pPr>
    <w:rPr/>
  </w:style>
  <w:style w:type="paragraph" w:styleId="Style46">
    <w:name w:val="Заголовок списка"/>
    <w:basedOn w:val="Normal"/>
    <w:next w:val="Style45"/>
    <w:qFormat/>
    <w:pPr>
      <w:ind w:hanging="0" w:left="0" w:right="0"/>
    </w:pPr>
    <w:rPr/>
  </w:style>
  <w:style w:type="paragraph" w:styleId="Style47">
    <w:name w:val="Гриф_Экземпляр"/>
    <w:basedOn w:val="Normal"/>
    <w:qFormat/>
    <w:pPr>
      <w:ind w:hanging="0" w:left="0" w:right="0"/>
    </w:pPr>
    <w:rPr>
      <w:sz w:val="24"/>
    </w:rPr>
  </w:style>
  <w:style w:type="paragraph" w:styleId="Style48">
    <w:name w:val="Исполнитель документа"/>
    <w:basedOn w:val="Normal"/>
    <w:qFormat/>
    <w:pPr>
      <w:jc w:val="left"/>
    </w:pPr>
    <w:rPr>
      <w:sz w:val="24"/>
    </w:rPr>
  </w:style>
  <w:style w:type="paragraph" w:styleId="Style49">
    <w:name w:val="Заголовок списка иллюстраций"/>
    <w:basedOn w:val="Style23"/>
    <w:qFormat/>
    <w:pPr>
      <w:suppressLineNumbers/>
      <w:ind w:hanging="0" w:left="0" w:right="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0">
    <w:name w:val="Маркированный •"/>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19">
    <w:name w:val="Нумерованный 1)"/>
    <w:qFormat/>
  </w:style>
  <w:style w:type="numbering" w:styleId="Style55">
    <w:name w:val="Нумерованный а)"/>
    <w:qFormat/>
  </w:style>
  <w:style w:type="numbering" w:styleId="Style56">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LibreOffice/25.2.3.2$Linux_X86_64 LibreOffice_project/520$Build-2</Application>
  <AppVersion>15.0000</AppVersion>
  <Pages>3</Pages>
  <Words>597</Words>
  <Characters>4494</Characters>
  <CharactersWithSpaces>5050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2026-06-04T12:41:44Z</dcterms:created>
  <dc:creator/>
  <dc:description/>
  <dc:language>ru-RU</dc:language>
  <cp:lastModifiedBy/>
  <dcterms:modified xsi:type="dcterms:W3CDTF">2026-06-04T12:47:10Z</dcterms:modified>
  <cp:revision>3</cp:revision>
  <dc:subject/>
  <dc:title>Default</dc:title>
</cp:coreProperties>
</file>