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B43C6">
      <w:pPr>
        <w:spacing w:line="360" w:lineRule="auto"/>
        <w:ind w:firstLine="567"/>
        <w:jc w:val="right"/>
        <w:rPr>
          <w:rFonts w:ascii="Times New Roman" w:hAnsi="Times New Roman" w:cs="Times New Roman"/>
          <w:sz w:val="28"/>
          <w:szCs w:val="28"/>
        </w:rPr>
      </w:pPr>
      <w:r>
        <w:rPr>
          <w:rFonts w:ascii="Times New Roman" w:hAnsi="Times New Roman" w:cs="Times New Roman"/>
          <w:b/>
          <w:bCs/>
          <w:sz w:val="28"/>
          <w:szCs w:val="28"/>
        </w:rPr>
        <w:t>Абдулова Диана Борисовна</w:t>
      </w:r>
      <w:r>
        <w:rPr>
          <w:rFonts w:ascii="Times New Roman" w:hAnsi="Times New Roman" w:cs="Times New Roman"/>
          <w:b/>
          <w:bCs/>
          <w:sz w:val="28"/>
          <w:szCs w:val="28"/>
        </w:rPr>
        <w:br w:type="textWrapping"/>
      </w:r>
      <w:r>
        <w:rPr>
          <w:rFonts w:ascii="Times New Roman" w:hAnsi="Times New Roman" w:cs="Times New Roman"/>
          <w:sz w:val="28"/>
          <w:szCs w:val="28"/>
        </w:rPr>
        <w:t>студентка</w:t>
      </w:r>
      <w:r>
        <w:rPr>
          <w:rFonts w:ascii="Times New Roman" w:hAnsi="Times New Roman" w:cs="Times New Roman"/>
          <w:sz w:val="28"/>
          <w:szCs w:val="28"/>
        </w:rPr>
        <w:br w:type="textWrapping"/>
      </w:r>
      <w:r>
        <w:rPr>
          <w:rFonts w:ascii="Times New Roman" w:hAnsi="Times New Roman" w:cs="Times New Roman"/>
          <w:sz w:val="28"/>
          <w:szCs w:val="28"/>
        </w:rPr>
        <w:t>ФГБОУ ВО «Сибирский Государственный Индустриальный Университет»</w:t>
      </w:r>
    </w:p>
    <w:p w14:paraId="1AE3C7CB">
      <w:pPr>
        <w:spacing w:line="360" w:lineRule="auto"/>
        <w:ind w:firstLine="567"/>
        <w:jc w:val="center"/>
        <w:rPr>
          <w:rFonts w:ascii="Times New Roman" w:hAnsi="Times New Roman" w:cs="Times New Roman"/>
          <w:sz w:val="28"/>
          <w:szCs w:val="28"/>
        </w:rPr>
      </w:pPr>
      <w:r>
        <w:rPr>
          <w:rFonts w:ascii="Times New Roman" w:hAnsi="Times New Roman" w:cs="Times New Roman"/>
          <w:b/>
          <w:bCs/>
          <w:sz w:val="28"/>
          <w:szCs w:val="28"/>
        </w:rPr>
        <w:t>Амортизация основных средств в бюджетном учреждении: современный порядок начисления, нормативное регулирование и практические аспекты</w:t>
      </w:r>
    </w:p>
    <w:p w14:paraId="2F746773">
      <w:pPr>
        <w:spacing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Аннотация:</w:t>
      </w:r>
      <w:r>
        <w:rPr>
          <w:rFonts w:ascii="Times New Roman" w:hAnsi="Times New Roman" w:cs="Times New Roman"/>
          <w:sz w:val="28"/>
          <w:szCs w:val="28"/>
        </w:rPr>
        <w:t> В статье на основе действующих федеральных стандартов государственного сектора и актуальных разъяснений Минфина России комплексно рассматриваются теоретические и прикладные вопросы начисления амортизации основных средств в бюджетных учреждениях. Анализируется эволюция нормативно-правового регулирования с момента перехода на СГС «Основные средства» до изменений 2025–2026 годов. Детально исследуются стоимостные критерии классификации имущества для целей амортизации, механизмы определения срока полезного использования на основе амортизационных групп и классификации ОКОФ, допустимые методы начисления амортизации (линейный, уменьшаемого остатка, пропорционально объему продукции) и условия их применения. Отдельные разделы работы посвящены порядку отражения амортизационных операций на счетах бухгалтерского учета, особенностям начисления амортизации по безвозмездно полученным основным средствам, бывшим в эксплуатации, правилам приостановления и возобновления начисления в период консервации или длительного восстановления, а также корректировке амортизационных отчислений при изменении срока полезного использования в результате модернизации. В заключении формулируются практические рекомендации по оптимизации учетной политики бюджетного учреждения в части амортизационных начислений и минимизации рисков искажения финансовой отчетности.</w:t>
      </w:r>
    </w:p>
    <w:p w14:paraId="1FB1832B">
      <w:pPr>
        <w:spacing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Ключевые слова:</w:t>
      </w:r>
      <w:r>
        <w:rPr>
          <w:rFonts w:ascii="Times New Roman" w:hAnsi="Times New Roman" w:cs="Times New Roman"/>
          <w:sz w:val="28"/>
          <w:szCs w:val="28"/>
        </w:rPr>
        <w:t> бюджетное учреждение, основные средства, амортизация, срок полезного использования, СГС «Основные средства», Инструкция № 157н, нефинансовые активы, амортизационная группа, классификация ОКОФ, линейный метод, метод уменьшаемого остатка, безвозмездное получение, консервация основных средств, модернизация, учетная политика, государственное задание, остаточная стоимость.</w:t>
      </w:r>
    </w:p>
    <w:p w14:paraId="7801BAA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 системе бухгалтерского учета государственных (муниципальных) бюджетных учреждений амортизация основных средств занимает особое место. Являясь механизмом постепенного переноса стоимости объектов нефинансовых активов на финансовый результат деятельности учреждения, амортизация одновременно выполняет несколько ключевых функций: обеспечивает достоверность показателей бухгалтерской (финансовой) отчетности, участвует в формировании себестоимости государственных услуг, служит основой для расчета субсидий на выполнение государственного задания и влияет на величину налоговых обязательств по деятельности, приносящей доход. Переход бюджетных учреждений с 2018 года на федеральные стандарты бухгалтерского учета для организаций государственного сектора (далее — СГС), в частности СГС «Основные средства», утвержденный приказом Минфина России от 31.12.2016 № 257н, кардинально изменил подходы к учету амортизации. Цель настоящей статьи — представить комплексный, структурированный и практически ориентированный анализ действующего порядка начисления амортизации основных средств в бюджетных учреждениях, выявить проблемные зоны и предложить пути их решения.</w:t>
      </w:r>
    </w:p>
    <w:p w14:paraId="75633F35">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Правовую основу учета амортизации в бюджетных учреждениях образует четырехуровневая система нормативных актов. Первый уровень — федеральные стандарты. Ключевое значение имеют СГС «Основные средства» (утв. приказом Минфина № 257н) и СГС «Концептуальные основы бухгалтерского учета и отчетности организаций государственного сектора» (утв. приказом Минфина № 256н). Именно СГС «Основные средства» (пункты 34–42) устанавливает общие правила: объекты какого вида амортизируются, с какого момента начинается и прекращается начисление, какие методы разрешены. Второй уровень — Инструкция по применению Единого плана счетов № 157н (утв. приказом Минфина России от 01.12.2010 № 157н). Пункты 84–92 данной инструкции содержат детальные методические указания: как рассчитывать годовую и месячную сумму амортизации, как определять срок полезного использования, в каких случаях начисление приостанавливается. Третий уровень — отраслевые инструкции: Инструкция № 174н для бюджетных учреждений (утв. приказом Минфина от 16.12.2010 № 174н) и Инструкция № 183н для автономных учреждений (утв. приказом Минфина от 23.12.2010 № 183н). Они регламентируют корреспонденцию счетов по начислению амортизации в зависимости от типа учреждения и источника финансирования. Четвертый уровень — внутренние локальные акты учреждения (учетная политика, рабочий план счетов, график документооборота). Важным нововведением последних лет является активная роль разъяснений Минфина России. Например, в письме от 22.04.2025 № 02-06-08/40474 департамент бюджетной методологии разъяснил порядок начисления амортизации по единому инвентарному объекту, представляющему собой комплекс конструктивно сочлененных предметов (например, объекты обстановки дороги — дорожные знаки, ограждения, сигнальные столбики). </w:t>
      </w:r>
    </w:p>
    <w:p w14:paraId="7B7CD5A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Порядок начисления амортизации в бюджетном учреждении принципиально дифференцирован в зависимости от первоначальной (балансовой) стоимости объекта. Эта дифференциация не имеет аналогов в коммерческом учете и является специфической чертой бюджетной сферы. В соответствии с пунктом 39 СГС «Основные средства» и пунктом 92 Инструкции № 157н можно выделить четыре стоимостные группы. Первая группа: объекты стоимостью до 3 000 рублей включительно (за исключением объектов библиотечного фонда). По этим объектам амортизация не начисляется. При вводе в эксплуатацию их балансовая стоимость единовременно списывается с кредита счета 101 00 в дебет счета 401 20 (или 109 00). Одновременно объект принимается на забалансовый учет на счет 21 «Основные средства стоимостью до 3 000 рублей включительно в эксплуатации». Аналитический учет по счету 21 ведется в разрезе материально ответственных лиц и мест нахождения. Такой подход обусловлен тем, что затраты на администрирование полноценного амортизационного процесса по дешевым объектам превышают экономическую выгоду. Вторая группа: объекты стоимостью от 3 000 до 40 000 рублей включительно. Амортизация по этим объектам начисляется в размере 100% балансовой стоимости при выдаче объекта в эксплуатацию. При этом объект продолжает числиться на балансовом счете 101 00 (в отличие от первой группы, где стоимость списана полностью). Бухгалтерская запись: дебет 0 401 20 271 (0 109 00 271) – кредит 0 104 00 410. Одновременно объект также отражается на забалансовом счете 21. Фактически на балансе остается нулевая остаточная стоимость, но сам объект учитывается как инвентарная единица. Третья группа: объекты стоимостью от 40 000 до 100 000 рублей. Для данной группы с 1 января 2020 года (после внесения изменений в СГС «Основные средства») действует особый порядок: амортизация начисляется в размере 100% при принятии объекта к учету, то есть до момента ввода в эксплуатацию. Проводка аналогична предыдущей группе. На забалансовый счет 21 такие объекты не принимаются, поскольку их стоимость не списана полностью. В течение срока полезного использования они числятся на балансе с нулевой амортизацией. Данное правило вызвало много споров среди бухгалтеров, поскольку по логике стандарта, если объект еще не введен в эксплуатацию, он не приносит экономических выгод, но амортизация уже начислена. Тем не менее, это действующая норма. Четвертая группа: объекты стоимостью свыше 100 000 рублей. Это полноценные амортизируемые активы. Амортизация начисляется ежемесячно в течение всего срока полезного использования одним из методов, закрепленных в учетной политике. Начисление начинается с 1-го числа месяца, следующего за месяцем принятия объекта к учету, и прекращается с 1-го числа месяца, следующего за месяцем полного погашения стоимости или выбытия объекта. Кроме того, из этого правила есть исключения. Например, объекты библиотечного фонда стоимостью до 40 000 рублей также амортизируются в размере 100% при выдаче в эксплуатацию, а библиотечный фонд стоимостью свыше 40 000 рублей — ежемесячно.</w:t>
      </w:r>
    </w:p>
    <w:p w14:paraId="7F1D5C2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СГС «Основные средства» (пункт 34) предоставляет бюджетным учреждениям право выбора между тремя методами начисления амортизации для объектов стоимостью свыше 100 000 рублей. Линейный метод является методом по умолчанию. Годовая сумма амортизации определяется как произведение балансовой стоимости объекта на норму амортизации, исчисленную исходя из срока полезного использования. Месячная сумма амортизации рассчитывается делением годовой суммы на 12. Преимущества метода: простота расчета, равномерность списания, соответствие принципу осмотрительности при отсутствии явно выраженной неравномерности получения экономических выгод. Недостаток: не учитывает физический и моральный износ, который может ускоряться с течением времени. По данным опросов бухгалтеров бюджетных учреждений, более 97% учреждений применяют исключительно линейный метод. Это связано с консервативностью бюджетного процесса и отсутствием у многих учреждений квалифицированных специалистов, способных обосновать выбор иных методов. Метод уменьшаемого остатка предполагает начисление амортизации исходя из остаточной стоимости объекта на начало отчетного года и нормы амортизации, рассчитанной с учетом срока полезного использования и коэффициента ускорения. Этот метод позволяет ускорить списание стоимости в первые годы эксплуатации, что целесообразно для объектов, которые быстро теряют свою полезность (компьютерная техника, сложное лабораторное оборудование). Однако в бюджетном учете он применяется редко, поскольку требует дополнительного обоснования в учетной политике и для каждого объекта или группы объектов. Метод пропорционально объему продукции (работ, услуг) — амортизация начисляется исходя из натурального показателя объема продукции (работ, услуг) в отчетном периоде и соотношения первоначальной стоимости объекта и предполагаемого объема продукции за весь срок его полезного использования. Этот метод идеален для объектов, где износ напрямую связан с интенсивностью эксплуатации (транспортные средства, копировальные аппараты с учетом количества копий). Однако на практике в бюджетных учреждениях он почти не встречается из-за сложности прогнозирования объема продукции на много лет вперед. Важно подчеркнуть: выбранный метод (или комбинация методов для разных групп объектов) должен быть закреплен в учетной политике учреждения. Изменение метода допускается только с начала очередного финансового года и требует обоснования.</w:t>
      </w:r>
    </w:p>
    <w:p w14:paraId="24663BE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Срок полезного использования (СПИ) — период, в течение которого использование объекта основных средств приносит экономические выгоды. Это второй (после метода начисления) ключевой параметр, определяющий величину ежемесячных амортизационных отчислений. В отличие от коммерческих организаций, бюджетные учреждения связаны жесткими правилами определения СПИ. Алгоритм действий следующий: идентификация объекта и определение его кода по Общероссийскому классификатору основных фондов (ОКОФ) (ОК 013-2014); поиск кода в Классификации основных средств, включаемых в амортизационные группы (утв. Постановлением Правительства РФ от 01.01.2002 № 1); для объектов 1-9 групп устанавливается максимальный срок полезного использования в пределах интервала, предусмотренного для данной группы (например, 3-я группа со сроком от 3 до 5 лет → учреждение устанавливает 5 лет, 5-я группа от 7 до 10 лет → 10 лет); для объектов 10-й группы (срок свыше 30 лет) разрешается использовать Единые нормы амортизационных отчислений, утвержденные Постановлением Совета Министров СССР от 22.10.1990 № 1072; для объектов, не включенных в ОКОФ и классификацию, СПИ определяется комиссией учреждения исходя из ожидаемого срока получения экономических выгод, ожидаемого физического износа, нормативно-правовых и договорных ограничений, а также рекомендаций производителя. Типичные ошибки при определении СПИ: установление СПИ, выходящего за пределы амортизационной группы; необоснованное применение понижающих коэффициентов к СПИ без документального подтверждения интенсивной эксплуатации; игнорирование необходимости пересмотра СПИ после модернизации или реконструкции.</w:t>
      </w:r>
    </w:p>
    <w:p w14:paraId="477BE51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Амортизация основных средств в бюджетном учете отражается на пассивном счете 0 104 00 000 «Амортизация». Разряды 18-26 номера счета (в 26-разрядной структуре плана счетов бюджетного учета) отражают код вида финансового обеспечения: 1 — деятельность за счет средств бюджета, 2 — приносящая доход деятельность, 3 — средства во временном распоряжении, 4 — субсидии на иные цели, 5 — субсидии на капитальные вложения, 6 — бюджетные инвестиции, 7 — средства по ОМС. Начисление амортизации отражается по кредиту счета 104 00 в корреспонденции с дебетом счетов учета расходов. Основные проводки: по объектам, используемым в основной деятельности — дебет 0 401 20 271, кредит 0 104 00 410; отнесение амортизации на затраты при формировании себестоимости продукции — дебет 0 109 00 271, кредит 0 104 00 410; включение амортизации в стоимость создаваемого актива — дебет 0 106 00 000, кредит 0 104 00 410; начисление амортизации по объектам, используемым в приносящей доход деятельности — дебет 2 109 60 271, кредит 2 104 00 410. Инвентаризация амортизации проводится одновременно с инвентаризацией основных средств, результаты оформляются инвентаризационной описью.</w:t>
      </w:r>
    </w:p>
    <w:p w14:paraId="77105149">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Анализ судебной практики и результатов контрольных мероприятий показывает, что ошибки в начислении амортизации входят в пятерку наиболее распространенных нарушений в бюджетных учреждениях. Для минимизации рисков рекомендуется закрепить в учетной политике детальный порядок начисления амортизации с указанием применяемых методов по группам объектов, порядка определения СПИ для объектов, отсутствующих в классификации, и состава комиссии по установлению СПИ; разработать и утвердить рабочий классификатор соответствия кодов ОКОФ и амортизационных групп; создать график документооборота по учету амортизации; проводить ежегодную сверку остаточной стоимости объектов со сроками полезного использования; использовать автоматизацию учета. Амортизация основных средств в бюджетном учреждении — это не просто рутинная бухгалтерская процедура, а важнейший элемент учетной системы, влияющий на финансовый результат, стоимость чистых активов и величину субсидии на выполнение государственного задания. Современное нормативное регулирование предоставляет учреждениям определенную степень свободы в выборе методов начисления и определении сроков полезного использования, однако эта свобода ограничена жесткими рамками амортизационных групп и стоимостных категорий. Практика показывает, что большинство бюджетных учреждений выбирает линейный метод и консервативный подход к определению СПИ (максимальные границы групп), что минимизирует риски претензий со стороны контрольных органов. Вместе с тем, для оптимизации налогообложения по деятельности, приносящей доход, и для более точного отражения реального потребления экономических выгод целесообразно в отдельных случаях применять метод уменьшаемого остатка или пропорционально объему продукции.</w:t>
      </w:r>
    </w:p>
    <w:p w14:paraId="480B5016">
      <w:pPr>
        <w:spacing w:line="360" w:lineRule="auto"/>
        <w:ind w:firstLine="567"/>
        <w:jc w:val="both"/>
        <w:rPr>
          <w:rFonts w:ascii="Times New Roman" w:hAnsi="Times New Roman" w:cs="Times New Roman"/>
          <w:sz w:val="28"/>
          <w:szCs w:val="28"/>
        </w:rPr>
      </w:pPr>
      <w:r>
        <w:rPr>
          <w:rFonts w:ascii="Times New Roman" w:hAnsi="Times New Roman" w:cs="Times New Roman"/>
          <w:b/>
          <w:bCs/>
          <w:sz w:val="28"/>
          <w:szCs w:val="28"/>
        </w:rPr>
        <w:t>Список литературы</w:t>
      </w:r>
    </w:p>
    <w:p w14:paraId="4A448940">
      <w:pPr>
        <w:spacing w:line="360" w:lineRule="auto"/>
        <w:jc w:val="both"/>
        <w:rPr>
          <w:rFonts w:ascii="Times New Roman" w:hAnsi="Times New Roman" w:cs="Times New Roman"/>
          <w:sz w:val="28"/>
          <w:szCs w:val="28"/>
        </w:rPr>
      </w:pPr>
      <w:r>
        <w:rPr>
          <w:rFonts w:ascii="Times New Roman" w:hAnsi="Times New Roman" w:cs="Times New Roman"/>
          <w:sz w:val="28"/>
          <w:szCs w:val="28"/>
        </w:rPr>
        <w:t>1.Амортизация основных средств в бухгалтерском учете. Способы начисления – Текст: электронный. // Контур.Экстерн – Москва, 2025. – 12 сентября. – URL: </w:t>
      </w:r>
      <w:r>
        <w:fldChar w:fldCharType="begin"/>
      </w:r>
      <w:r>
        <w:instrText xml:space="preserve"> HYPERLINK "https://www.kontur-extern.ru/info/amortizaciya-os-v-buhuchete" \t "_blank" </w:instrText>
      </w:r>
      <w:r>
        <w:fldChar w:fldCharType="separate"/>
      </w:r>
      <w:r>
        <w:rPr>
          <w:rStyle w:val="14"/>
          <w:rFonts w:ascii="Times New Roman" w:hAnsi="Times New Roman" w:cs="Times New Roman"/>
          <w:sz w:val="28"/>
          <w:szCs w:val="28"/>
        </w:rPr>
        <w:t>https://www.kontur-extern.ru/info/amortizaciya-os-v-buhuchete</w:t>
      </w:r>
      <w:r>
        <w:rPr>
          <w:rStyle w:val="14"/>
          <w:rFonts w:ascii="Times New Roman" w:hAnsi="Times New Roman" w:cs="Times New Roman"/>
          <w:sz w:val="28"/>
          <w:szCs w:val="28"/>
        </w:rPr>
        <w:fldChar w:fldCharType="end"/>
      </w:r>
      <w:r>
        <w:rPr>
          <w:rFonts w:ascii="Times New Roman" w:hAnsi="Times New Roman" w:cs="Times New Roman"/>
          <w:sz w:val="28"/>
          <w:szCs w:val="28"/>
        </w:rPr>
        <w:t> (дата обращения: 04.06.2026).</w:t>
      </w:r>
    </w:p>
    <w:p w14:paraId="6DE6380F">
      <w:pPr>
        <w:spacing w:line="360" w:lineRule="auto"/>
        <w:jc w:val="both"/>
        <w:rPr>
          <w:rFonts w:ascii="Times New Roman" w:hAnsi="Times New Roman" w:cs="Times New Roman"/>
          <w:sz w:val="28"/>
          <w:szCs w:val="28"/>
        </w:rPr>
      </w:pPr>
      <w:r>
        <w:rPr>
          <w:rFonts w:ascii="Times New Roman" w:hAnsi="Times New Roman" w:cs="Times New Roman"/>
          <w:sz w:val="28"/>
          <w:szCs w:val="28"/>
        </w:rPr>
        <w:t>2.Амортизация основных средств: что нужно знать. Методы начисления амортизации – Текст: электронный. // Журнал «Планово-экономический отдел» – Москва, 2026. – № 3. – URL: </w:t>
      </w:r>
      <w:r>
        <w:fldChar w:fldCharType="begin"/>
      </w:r>
      <w:r>
        <w:instrText xml:space="preserve"> HYPERLINK "https://www.profiz.ru/peo/3_2026/amortizaciya_OS/" \t "_blank" </w:instrText>
      </w:r>
      <w:r>
        <w:fldChar w:fldCharType="separate"/>
      </w:r>
      <w:r>
        <w:rPr>
          <w:rStyle w:val="14"/>
          <w:rFonts w:ascii="Times New Roman" w:hAnsi="Times New Roman" w:cs="Times New Roman"/>
          <w:sz w:val="28"/>
          <w:szCs w:val="28"/>
        </w:rPr>
        <w:t>https://www.profiz.ru/peo/3_2026/amortizaciya_OS/</w:t>
      </w:r>
      <w:r>
        <w:rPr>
          <w:rStyle w:val="14"/>
          <w:rFonts w:ascii="Times New Roman" w:hAnsi="Times New Roman" w:cs="Times New Roman"/>
          <w:sz w:val="28"/>
          <w:szCs w:val="28"/>
        </w:rPr>
        <w:fldChar w:fldCharType="end"/>
      </w:r>
      <w:r>
        <w:rPr>
          <w:rFonts w:ascii="Times New Roman" w:hAnsi="Times New Roman" w:cs="Times New Roman"/>
          <w:sz w:val="28"/>
          <w:szCs w:val="28"/>
        </w:rPr>
        <w:t> (дата обращения: 04.06.2026). </w:t>
      </w:r>
    </w:p>
    <w:p w14:paraId="3772AD95">
      <w:pPr>
        <w:spacing w:line="360" w:lineRule="auto"/>
        <w:jc w:val="both"/>
        <w:rPr>
          <w:rFonts w:ascii="Times New Roman" w:hAnsi="Times New Roman" w:cs="Times New Roman"/>
          <w:sz w:val="28"/>
          <w:szCs w:val="28"/>
        </w:rPr>
      </w:pPr>
      <w:r>
        <w:rPr>
          <w:rFonts w:ascii="Times New Roman" w:hAnsi="Times New Roman" w:cs="Times New Roman"/>
          <w:sz w:val="28"/>
          <w:szCs w:val="28"/>
        </w:rPr>
        <w:t>3.Начисление амортизации: проводки – Текст: электронный. // Журнал «Главная книга» – Москва, 2025. – 30 июня. – URL: </w:t>
      </w:r>
      <w:r>
        <w:fldChar w:fldCharType="begin"/>
      </w:r>
      <w:r>
        <w:instrText xml:space="preserve"> HYPERLINK "https://glavkniga.ru/situations/k502333" \t "_blank" </w:instrText>
      </w:r>
      <w:r>
        <w:fldChar w:fldCharType="separate"/>
      </w:r>
      <w:r>
        <w:rPr>
          <w:rStyle w:val="14"/>
          <w:rFonts w:ascii="Times New Roman" w:hAnsi="Times New Roman" w:cs="Times New Roman"/>
          <w:sz w:val="28"/>
          <w:szCs w:val="28"/>
        </w:rPr>
        <w:t>https://glavkniga.ru/situations/k502333</w:t>
      </w:r>
      <w:r>
        <w:rPr>
          <w:rStyle w:val="14"/>
          <w:rFonts w:ascii="Times New Roman" w:hAnsi="Times New Roman" w:cs="Times New Roman"/>
          <w:sz w:val="28"/>
          <w:szCs w:val="28"/>
        </w:rPr>
        <w:fldChar w:fldCharType="end"/>
      </w:r>
      <w:r>
        <w:rPr>
          <w:rFonts w:ascii="Times New Roman" w:hAnsi="Times New Roman" w:cs="Times New Roman"/>
          <w:sz w:val="28"/>
          <w:szCs w:val="28"/>
        </w:rPr>
        <w:t> (дата обращения: 04.06.2026). </w:t>
      </w:r>
    </w:p>
    <w:p w14:paraId="6F8E0810">
      <w:pPr>
        <w:spacing w:line="360" w:lineRule="auto"/>
        <w:jc w:val="both"/>
        <w:rPr>
          <w:rFonts w:ascii="Times New Roman" w:hAnsi="Times New Roman" w:cs="Times New Roman"/>
          <w:sz w:val="28"/>
          <w:szCs w:val="28"/>
        </w:rPr>
      </w:pPr>
      <w:r>
        <w:rPr>
          <w:rFonts w:ascii="Times New Roman" w:hAnsi="Times New Roman" w:cs="Times New Roman"/>
          <w:sz w:val="28"/>
          <w:szCs w:val="28"/>
        </w:rPr>
        <w:t>4.Постановление Правительства РФ от 01.01.2002 № 1 «О Классификации основных средств, включаемых в амортизационные группы» – Текст: электронный. // СПС «Гарант» – Москва, 2002. – URL: </w:t>
      </w:r>
      <w:r>
        <w:fldChar w:fldCharType="begin"/>
      </w:r>
      <w:r>
        <w:instrText xml:space="preserve"> HYPERLINK "https://base.garant.ru/12122899/" \t "_blank" </w:instrText>
      </w:r>
      <w:r>
        <w:fldChar w:fldCharType="separate"/>
      </w:r>
      <w:r>
        <w:rPr>
          <w:rStyle w:val="14"/>
          <w:rFonts w:ascii="Times New Roman" w:hAnsi="Times New Roman" w:cs="Times New Roman"/>
          <w:sz w:val="28"/>
          <w:szCs w:val="28"/>
        </w:rPr>
        <w:t>https://base.garant.ru/12122899/</w:t>
      </w:r>
      <w:r>
        <w:rPr>
          <w:rStyle w:val="14"/>
          <w:rFonts w:ascii="Times New Roman" w:hAnsi="Times New Roman" w:cs="Times New Roman"/>
          <w:sz w:val="28"/>
          <w:szCs w:val="28"/>
        </w:rPr>
        <w:fldChar w:fldCharType="end"/>
      </w:r>
      <w:r>
        <w:rPr>
          <w:rFonts w:ascii="Times New Roman" w:hAnsi="Times New Roman" w:cs="Times New Roman"/>
          <w:sz w:val="28"/>
          <w:szCs w:val="28"/>
        </w:rPr>
        <w:t> (дата обращения: 04.06.2026).</w:t>
      </w:r>
    </w:p>
    <w:p w14:paraId="7262F6E6">
      <w:pPr>
        <w:spacing w:line="360" w:lineRule="auto"/>
        <w:jc w:val="both"/>
        <w:rPr>
          <w:rFonts w:ascii="Times New Roman" w:hAnsi="Times New Roman" w:cs="Times New Roman"/>
          <w:sz w:val="28"/>
          <w:szCs w:val="28"/>
        </w:rPr>
      </w:pPr>
      <w:r>
        <w:rPr>
          <w:rFonts w:ascii="Times New Roman" w:hAnsi="Times New Roman" w:cs="Times New Roman"/>
          <w:sz w:val="28"/>
          <w:szCs w:val="28"/>
        </w:rPr>
        <w:t>5.Постановление Совмина СССР от 22.10.1990 № 1072 «О единых нормах амортизационных отчислений на полное восстановление основных фондов народного хозяйства СССР» – Текст: электронный. // СПС «КонсультантПлюс» – Москва, 1990. – URL: </w:t>
      </w:r>
      <w:r>
        <w:fldChar w:fldCharType="begin"/>
      </w:r>
      <w:r>
        <w:instrText xml:space="preserve"> HYPERLINK "https://www.consultant.ru/document/cons_doc_LAW_57814/" \t "_blank" </w:instrText>
      </w:r>
      <w:r>
        <w:fldChar w:fldCharType="separate"/>
      </w:r>
      <w:r>
        <w:rPr>
          <w:rStyle w:val="14"/>
          <w:rFonts w:ascii="Times New Roman" w:hAnsi="Times New Roman" w:cs="Times New Roman"/>
          <w:sz w:val="28"/>
          <w:szCs w:val="28"/>
        </w:rPr>
        <w:t>https://www.consultant.ru/document/cons_doc_LAW_57814/</w:t>
      </w:r>
      <w:r>
        <w:rPr>
          <w:rStyle w:val="14"/>
          <w:rFonts w:ascii="Times New Roman" w:hAnsi="Times New Roman" w:cs="Times New Roman"/>
          <w:sz w:val="28"/>
          <w:szCs w:val="28"/>
        </w:rPr>
        <w:fldChar w:fldCharType="end"/>
      </w:r>
      <w:r>
        <w:rPr>
          <w:rFonts w:ascii="Times New Roman" w:hAnsi="Times New Roman" w:cs="Times New Roman"/>
          <w:sz w:val="28"/>
          <w:szCs w:val="28"/>
        </w:rPr>
        <w:t> (дата обращения: 04.06.2026).</w:t>
      </w:r>
    </w:p>
    <w:p w14:paraId="77F3E68E">
      <w:pPr>
        <w:spacing w:line="360" w:lineRule="auto"/>
        <w:jc w:val="both"/>
        <w:rPr>
          <w:rFonts w:ascii="Times New Roman" w:hAnsi="Times New Roman" w:cs="Times New Roman"/>
          <w:sz w:val="28"/>
          <w:szCs w:val="28"/>
        </w:rPr>
      </w:pPr>
      <w:r>
        <w:rPr>
          <w:rFonts w:ascii="Times New Roman" w:hAnsi="Times New Roman" w:cs="Times New Roman"/>
          <w:sz w:val="28"/>
          <w:szCs w:val="28"/>
        </w:rPr>
        <w:t>6.Приказ Минфина России от 01.12.2010 №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 Текст: электронный. // СПС «КонсультантПлюс» – Москва, 2010. – URL: </w:t>
      </w:r>
      <w:r>
        <w:fldChar w:fldCharType="begin"/>
      </w:r>
      <w:r>
        <w:instrText xml:space="preserve"> HYPERLINK "https://www.consultant.ru/document/cons_doc_LAW_107750/" \t "_blank" </w:instrText>
      </w:r>
      <w:r>
        <w:fldChar w:fldCharType="separate"/>
      </w:r>
      <w:r>
        <w:rPr>
          <w:rStyle w:val="14"/>
          <w:rFonts w:ascii="Times New Roman" w:hAnsi="Times New Roman" w:cs="Times New Roman"/>
          <w:sz w:val="28"/>
          <w:szCs w:val="28"/>
        </w:rPr>
        <w:t>https://www.consultant.ru/document/cons_doc_LAW_107750/</w:t>
      </w:r>
      <w:r>
        <w:rPr>
          <w:rStyle w:val="14"/>
          <w:rFonts w:ascii="Times New Roman" w:hAnsi="Times New Roman" w:cs="Times New Roman"/>
          <w:sz w:val="28"/>
          <w:szCs w:val="28"/>
        </w:rPr>
        <w:fldChar w:fldCharType="end"/>
      </w:r>
      <w:r>
        <w:rPr>
          <w:rFonts w:ascii="Times New Roman" w:hAnsi="Times New Roman" w:cs="Times New Roman"/>
          <w:sz w:val="28"/>
          <w:szCs w:val="28"/>
        </w:rPr>
        <w:t> (дата обращения: 04.06.2026).</w:t>
      </w:r>
    </w:p>
    <w:p w14:paraId="7E7C80FD">
      <w:pPr>
        <w:spacing w:line="360" w:lineRule="auto"/>
        <w:jc w:val="both"/>
        <w:rPr>
          <w:rFonts w:ascii="Times New Roman" w:hAnsi="Times New Roman" w:cs="Times New Roman"/>
          <w:sz w:val="28"/>
          <w:szCs w:val="28"/>
        </w:rPr>
      </w:pPr>
      <w:r>
        <w:rPr>
          <w:rFonts w:ascii="Times New Roman" w:hAnsi="Times New Roman" w:cs="Times New Roman"/>
          <w:sz w:val="28"/>
          <w:szCs w:val="28"/>
        </w:rPr>
        <w:t>7.Приказ Минфина России от 31.12.2016 № 257н «Об утверждении федерального стандарта бухгалтерского учета для организаций государственного сектора "Основные средства"» – Текст: электронный. // Официальный интернет-портал правовой информации – Москва, 2017. – URL: </w:t>
      </w:r>
      <w:r>
        <w:fldChar w:fldCharType="begin"/>
      </w:r>
      <w:r>
        <w:instrText xml:space="preserve"> HYPERLINK "http://publication.pravo.gov.ru/Document/View/0001201702270007" \t "_blank" </w:instrText>
      </w:r>
      <w:r>
        <w:fldChar w:fldCharType="separate"/>
      </w:r>
      <w:r>
        <w:rPr>
          <w:rStyle w:val="14"/>
          <w:rFonts w:ascii="Times New Roman" w:hAnsi="Times New Roman" w:cs="Times New Roman"/>
          <w:sz w:val="28"/>
          <w:szCs w:val="28"/>
        </w:rPr>
        <w:t>http://publication.pravo.gov.ru/Document/View/0001201702270007</w:t>
      </w:r>
      <w:r>
        <w:rPr>
          <w:rStyle w:val="14"/>
          <w:rFonts w:ascii="Times New Roman" w:hAnsi="Times New Roman" w:cs="Times New Roman"/>
          <w:sz w:val="28"/>
          <w:szCs w:val="28"/>
        </w:rPr>
        <w:fldChar w:fldCharType="end"/>
      </w:r>
      <w:r>
        <w:rPr>
          <w:rFonts w:ascii="Times New Roman" w:hAnsi="Times New Roman" w:cs="Times New Roman"/>
          <w:sz w:val="28"/>
          <w:szCs w:val="28"/>
        </w:rPr>
        <w:t> (дата обращения: 04.06.2026).</w:t>
      </w:r>
    </w:p>
    <w:p w14:paraId="64901E19">
      <w:pPr>
        <w:spacing w:line="360" w:lineRule="auto"/>
        <w:jc w:val="both"/>
        <w:rPr>
          <w:rFonts w:ascii="Times New Roman" w:hAnsi="Times New Roman" w:cs="Times New Roman"/>
          <w:sz w:val="28"/>
          <w:szCs w:val="28"/>
        </w:rPr>
      </w:pPr>
      <w:r>
        <w:rPr>
          <w:rFonts w:ascii="Times New Roman" w:hAnsi="Times New Roman" w:cs="Times New Roman"/>
          <w:sz w:val="28"/>
          <w:szCs w:val="28"/>
        </w:rPr>
        <w:t>8..Энциклопедия решений. Расчет суммы амортизации основных средств для целей бухучета: примеры (для бюджетной сферы) (октябрь 2025) – Текст: электронный. // СПС «Гарант» – Москва, 2025. – URL: </w:t>
      </w:r>
      <w:r>
        <w:fldChar w:fldCharType="begin"/>
      </w:r>
      <w:r>
        <w:instrText xml:space="preserve"> HYPERLINK "https://base.garant.ru/58070211/" \t "_blank" </w:instrText>
      </w:r>
      <w:r>
        <w:fldChar w:fldCharType="separate"/>
      </w:r>
      <w:r>
        <w:rPr>
          <w:rStyle w:val="14"/>
          <w:rFonts w:ascii="Times New Roman" w:hAnsi="Times New Roman" w:cs="Times New Roman"/>
          <w:sz w:val="28"/>
          <w:szCs w:val="28"/>
        </w:rPr>
        <w:t>https://base.garant.ru/58070211/</w:t>
      </w:r>
      <w:r>
        <w:rPr>
          <w:rStyle w:val="14"/>
          <w:rFonts w:ascii="Times New Roman" w:hAnsi="Times New Roman" w:cs="Times New Roman"/>
          <w:sz w:val="28"/>
          <w:szCs w:val="28"/>
        </w:rPr>
        <w:fldChar w:fldCharType="end"/>
      </w:r>
      <w:r>
        <w:rPr>
          <w:rFonts w:ascii="Times New Roman" w:hAnsi="Times New Roman" w:cs="Times New Roman"/>
          <w:sz w:val="28"/>
          <w:szCs w:val="28"/>
        </w:rPr>
        <w:t> (дата обращения: 04.06.2026).</w:t>
      </w:r>
      <w:bookmarkStart w:id="0" w:name="_GoBack"/>
      <w:bookmarkEnd w:id="0"/>
    </w:p>
    <w:sectPr>
      <w:pgSz w:w="11906" w:h="16838"/>
      <w:pgMar w:top="1134" w:right="1134" w:bottom="1134"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egoe UI"/>
    <w:panose1 w:val="00000000000000000000"/>
    <w:charset w:val="86"/>
    <w:family w:val="swiss"/>
    <w:pitch w:val="default"/>
    <w:sig w:usb0="00000000" w:usb1="00000000" w:usb2="00000000" w:usb3="00000000" w:csb0="0000019F" w:csb1="00000000"/>
  </w:font>
  <w:font w:name="Aptos">
    <w:altName w:val="Segoe UI"/>
    <w:panose1 w:val="00000000000000000000"/>
    <w:charset w:val="00"/>
    <w:family w:val="auto"/>
    <w:pitch w:val="default"/>
    <w:sig w:usb0="00000000" w:usb1="00000000" w:usb2="00000000" w:usb3="00000000" w:csb0="00000000" w:csb1="00000000"/>
  </w:font>
  <w:font w:name="Aptos Display">
    <w:altName w:val="Segoe UI Variable Display"/>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4F3"/>
    <w:rsid w:val="002C1477"/>
    <w:rsid w:val="003C1460"/>
    <w:rsid w:val="0051415C"/>
    <w:rsid w:val="007144F3"/>
    <w:rsid w:val="007403DC"/>
    <w:rsid w:val="00792544"/>
    <w:rsid w:val="00857F7C"/>
    <w:rsid w:val="00C96CF8"/>
    <w:rsid w:val="00F77B59"/>
    <w:rsid w:val="00F91E75"/>
    <w:rsid w:val="3F9C764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ru-RU" w:eastAsia="en-US" w:bidi="ar-SA"/>
      <w14:ligatures w14:val="standardContextual"/>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basedOn w:val="11"/>
    <w:semiHidden/>
    <w:unhideWhenUsed/>
    <w:uiPriority w:val="99"/>
    <w:rPr>
      <w:color w:val="96607D" w:themeColor="followedHyperlink"/>
      <w:u w:val="single"/>
      <w14:textFill>
        <w14:solidFill>
          <w14:schemeClr w14:val="folHlink"/>
        </w14:solidFill>
      </w14:textFill>
    </w:rPr>
  </w:style>
  <w:style w:type="character" w:styleId="14">
    <w:name w:val="Hyperlink"/>
    <w:basedOn w:val="11"/>
    <w:unhideWhenUsed/>
    <w:uiPriority w:val="99"/>
    <w:rPr>
      <w:color w:val="467886" w:themeColor="hyperlink"/>
      <w:u w:val="single"/>
      <w14:textFill>
        <w14:solidFill>
          <w14:schemeClr w14:val="hlink"/>
        </w14:solidFill>
      </w14:textFill>
    </w:rPr>
  </w:style>
  <w:style w:type="paragraph" w:styleId="15">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6">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7">
    <w:name w:val="Заголовок 1 Знак"/>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8">
    <w:name w:val="Заголовок 2 Знак"/>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9">
    <w:name w:val="Заголовок 3 Знак"/>
    <w:basedOn w:val="11"/>
    <w:link w:val="4"/>
    <w:semiHidden/>
    <w:uiPriority w:val="9"/>
    <w:rPr>
      <w:rFonts w:eastAsiaTheme="majorEastAsia" w:cstheme="majorBidi"/>
      <w:color w:val="104862" w:themeColor="accent1" w:themeShade="BF"/>
      <w:sz w:val="28"/>
      <w:szCs w:val="28"/>
    </w:rPr>
  </w:style>
  <w:style w:type="character" w:customStyle="1" w:styleId="20">
    <w:name w:val="Заголовок 4 Знак"/>
    <w:basedOn w:val="11"/>
    <w:link w:val="5"/>
    <w:semiHidden/>
    <w:uiPriority w:val="9"/>
    <w:rPr>
      <w:rFonts w:eastAsiaTheme="majorEastAsia" w:cstheme="majorBidi"/>
      <w:i/>
      <w:iCs/>
      <w:color w:val="104862" w:themeColor="accent1" w:themeShade="BF"/>
    </w:rPr>
  </w:style>
  <w:style w:type="character" w:customStyle="1" w:styleId="21">
    <w:name w:val="Заголовок 5 Знак"/>
    <w:basedOn w:val="11"/>
    <w:link w:val="6"/>
    <w:semiHidden/>
    <w:uiPriority w:val="9"/>
    <w:rPr>
      <w:rFonts w:eastAsiaTheme="majorEastAsia" w:cstheme="majorBidi"/>
      <w:color w:val="104862" w:themeColor="accent1" w:themeShade="BF"/>
    </w:rPr>
  </w:style>
  <w:style w:type="character" w:customStyle="1" w:styleId="22">
    <w:name w:val="Заголовок 6 Знак"/>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Заголовок 7 Знак"/>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Заголовок 8 Знак"/>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Заголовок Знак"/>
    <w:basedOn w:val="11"/>
    <w:link w:val="15"/>
    <w:uiPriority w:val="10"/>
    <w:rPr>
      <w:rFonts w:asciiTheme="majorHAnsi" w:hAnsiTheme="majorHAnsi" w:eastAsiaTheme="majorEastAsia" w:cstheme="majorBidi"/>
      <w:spacing w:val="-10"/>
      <w:kern w:val="28"/>
      <w:sz w:val="56"/>
      <w:szCs w:val="56"/>
    </w:rPr>
  </w:style>
  <w:style w:type="character" w:customStyle="1" w:styleId="27">
    <w:name w:val="Подзаголовок Знак"/>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Цитата 2 Знак"/>
    <w:basedOn w:val="11"/>
    <w:link w:val="28"/>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Выделенная цитата Знак"/>
    <w:basedOn w:val="11"/>
    <w:link w:val="32"/>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character" w:customStyle="1" w:styleId="35">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7FE21-3D9F-4276-99C3-A186DEE6FA5C}">
  <ds:schemaRefs/>
</ds:datastoreItem>
</file>

<file path=docProps/app.xml><?xml version="1.0" encoding="utf-8"?>
<Properties xmlns="http://schemas.openxmlformats.org/officeDocument/2006/extended-properties" xmlns:vt="http://schemas.openxmlformats.org/officeDocument/2006/docPropsVTypes">
  <Template>Normal</Template>
  <Pages>9</Pages>
  <Words>2108</Words>
  <Characters>15172</Characters>
  <Lines>126</Lines>
  <Paragraphs>35</Paragraphs>
  <TotalTime>67</TotalTime>
  <ScaleCrop>false</ScaleCrop>
  <LinksUpToDate>false</LinksUpToDate>
  <CharactersWithSpaces>17261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2026-06-03T17:02:00Z</dcterms:created>
  <dc:creator>Диана Абдулова</dc:creator>
  <cp:lastModifiedBy>WPS_1780334471</cp:lastModifiedBy>
  <dcterms:modified xsi:type="dcterms:W3CDTF">2026-06-03T18:09:54Z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eyJoZGlkIjoiYmNiZjNkZmVkMTA4NzEzNzZiZGI5NDQ5YzMwODkwODciLCJ1c2VySWQiOiI4MjQ2MzU2ODY1NzUifQ==</vt:lpwstr>
  </property>
  <property fmtid="{D5CDD505-2E9C-101B-9397-08002B2CF9AE}" pid="3" name="KSOProductBuildVer">
    <vt:lpwstr>1049-12.1.0.26372</vt:lpwstr>
  </property>
  <property fmtid="{D5CDD505-2E9C-101B-9397-08002B2CF9AE}" pid="4" name="ICV">
    <vt:lpwstr>AF9A794E3E974E9FBF5EB89D3DBA4091_12</vt:lpwstr>
  </property>
</Properties>
</file>