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8F31" w14:textId="77777777" w:rsidR="00903813" w:rsidRPr="00903813" w:rsidRDefault="00903813" w:rsidP="00903813">
      <w:r w:rsidRPr="00903813">
        <w:t>Современная система образования ставит перед собой амбициозные задачи: не только дать учащимся глубокие знания, но и подготовить их к осознанному выбору будущей профессии, соответствующей их интересам, способностям и потребностям общества. В этом контексте организация профильного обучения и профориентационной работы естественнонаучного профиля на уровне среднего общего образования приобретает особую актуальность, особенно в условиях реализации Федеральных государственных образовательных стандартов (ФГОС).</w:t>
      </w:r>
    </w:p>
    <w:p w14:paraId="796D15BA" w14:textId="77777777" w:rsidR="00903813" w:rsidRPr="00903813" w:rsidRDefault="00903813" w:rsidP="00903813">
      <w:r w:rsidRPr="00903813">
        <w:rPr>
          <w:b/>
          <w:bCs/>
        </w:rPr>
        <w:t>ФГОС как основа для естественнонаучного профиля</w:t>
      </w:r>
    </w:p>
    <w:p w14:paraId="68E772FC" w14:textId="77777777" w:rsidR="00903813" w:rsidRPr="00903813" w:rsidRDefault="00903813" w:rsidP="00903813">
      <w:r w:rsidRPr="00903813">
        <w:t xml:space="preserve">ФГОС нового поколения делают акцент на формировании у обучающихся </w:t>
      </w:r>
      <w:r w:rsidRPr="00903813">
        <w:rPr>
          <w:b/>
          <w:bCs/>
        </w:rPr>
        <w:t>универсальных учебных действий (УУД)</w:t>
      </w:r>
      <w:r w:rsidRPr="00903813">
        <w:t xml:space="preserve">, среди которых особое место занимают </w:t>
      </w:r>
      <w:r w:rsidRPr="00903813">
        <w:rPr>
          <w:b/>
          <w:bCs/>
        </w:rPr>
        <w:t>познавательные, регулятивные и коммуникативные УУД</w:t>
      </w:r>
      <w:r w:rsidRPr="00903813">
        <w:t>. Именно эти действия являются фундаментом для успешного освоения естественнонаучных дисциплин и дальнейшего профессионального самоопределения.</w:t>
      </w:r>
    </w:p>
    <w:p w14:paraId="1233157A" w14:textId="77777777" w:rsidR="00903813" w:rsidRPr="00903813" w:rsidRDefault="00903813" w:rsidP="00903813">
      <w:pPr>
        <w:numPr>
          <w:ilvl w:val="0"/>
          <w:numId w:val="1"/>
        </w:numPr>
      </w:pPr>
      <w:r w:rsidRPr="00903813">
        <w:rPr>
          <w:b/>
          <w:bCs/>
        </w:rPr>
        <w:t>Познавательные УУД:</w:t>
      </w:r>
      <w:r w:rsidRPr="00903813">
        <w:t xml:space="preserve"> Развитие критического мышления, умения анализировать, синтезировать, сравнивать, классифицировать информацию, работать с различными источниками, проводить исследования – все это неотъемлемые компоненты естественнонаучного образования.</w:t>
      </w:r>
    </w:p>
    <w:p w14:paraId="4CCB9A53" w14:textId="77777777" w:rsidR="00903813" w:rsidRPr="00903813" w:rsidRDefault="00903813" w:rsidP="00903813">
      <w:pPr>
        <w:numPr>
          <w:ilvl w:val="0"/>
          <w:numId w:val="1"/>
        </w:numPr>
      </w:pPr>
      <w:r w:rsidRPr="00903813">
        <w:rPr>
          <w:b/>
          <w:bCs/>
        </w:rPr>
        <w:t>Регулятивные УУД:</w:t>
      </w:r>
      <w:r w:rsidRPr="00903813">
        <w:t xml:space="preserve"> Самостоятельность в постановке целей, планировании своей деятельности, контроле и оценке результатов, умение принимать решения – эти навыки позволяют учащимся эффективно управлять своим учебным процессом и готовиться к самостоятельной профессиональной деятельности.</w:t>
      </w:r>
    </w:p>
    <w:p w14:paraId="39EC340D" w14:textId="77777777" w:rsidR="00903813" w:rsidRPr="00903813" w:rsidRDefault="00903813" w:rsidP="00903813">
      <w:pPr>
        <w:numPr>
          <w:ilvl w:val="0"/>
          <w:numId w:val="1"/>
        </w:numPr>
      </w:pPr>
      <w:r w:rsidRPr="00903813">
        <w:rPr>
          <w:b/>
          <w:bCs/>
        </w:rPr>
        <w:t>Коммуникативные УУД:</w:t>
      </w:r>
      <w:r w:rsidRPr="00903813">
        <w:t xml:space="preserve"> Умение работать в команде, аргументировать свою точку зрения, слушать и понимать других, вести дискуссию – эти навыки важны для успешного взаимодействия в научных коллективах и профессиональной среде.</w:t>
      </w:r>
    </w:p>
    <w:p w14:paraId="35959EA8" w14:textId="77777777" w:rsidR="00903813" w:rsidRPr="00903813" w:rsidRDefault="00903813" w:rsidP="00903813">
      <w:r w:rsidRPr="00903813">
        <w:rPr>
          <w:b/>
          <w:bCs/>
        </w:rPr>
        <w:t>Цели и задачи профильного обучения естественнонаучного профиля</w:t>
      </w:r>
    </w:p>
    <w:p w14:paraId="47F454E5" w14:textId="77777777" w:rsidR="00903813" w:rsidRPr="00903813" w:rsidRDefault="00903813" w:rsidP="00903813">
      <w:r w:rsidRPr="00903813">
        <w:t>Профильное обучение естественнонаучного направления призвано решить следующие ключевые задачи:</w:t>
      </w:r>
    </w:p>
    <w:p w14:paraId="0369A212" w14:textId="77777777" w:rsidR="00903813" w:rsidRPr="00903813" w:rsidRDefault="00903813" w:rsidP="00903813">
      <w:pPr>
        <w:numPr>
          <w:ilvl w:val="0"/>
          <w:numId w:val="2"/>
        </w:numPr>
      </w:pPr>
      <w:r w:rsidRPr="00903813">
        <w:rPr>
          <w:b/>
          <w:bCs/>
        </w:rPr>
        <w:t>Углубленное изучение естественнонаучных дисциплин:</w:t>
      </w:r>
      <w:r w:rsidRPr="00903813">
        <w:t xml:space="preserve"> Предоставление учащимся возможности более глубоко изучить физику, химию, биологию, географию, астрономию, информатику, а также смежные дисциплины, такие как экология, генетика, нанотехнологии.</w:t>
      </w:r>
    </w:p>
    <w:p w14:paraId="067B4DF5" w14:textId="77777777" w:rsidR="00903813" w:rsidRPr="00903813" w:rsidRDefault="00903813" w:rsidP="00903813">
      <w:pPr>
        <w:numPr>
          <w:ilvl w:val="0"/>
          <w:numId w:val="2"/>
        </w:numPr>
      </w:pPr>
      <w:r w:rsidRPr="00903813">
        <w:rPr>
          <w:b/>
          <w:bCs/>
        </w:rPr>
        <w:t>Формирование научного мировоззрения:</w:t>
      </w:r>
      <w:r w:rsidRPr="00903813">
        <w:t xml:space="preserve"> Развитие у учащихся понимания законов природы, причинно-следственных связей, научного метода познания мира.</w:t>
      </w:r>
    </w:p>
    <w:p w14:paraId="436A5312" w14:textId="77777777" w:rsidR="00903813" w:rsidRPr="00903813" w:rsidRDefault="00903813" w:rsidP="00903813">
      <w:pPr>
        <w:numPr>
          <w:ilvl w:val="0"/>
          <w:numId w:val="2"/>
        </w:numPr>
      </w:pPr>
      <w:r w:rsidRPr="00903813">
        <w:rPr>
          <w:b/>
          <w:bCs/>
        </w:rPr>
        <w:lastRenderedPageBreak/>
        <w:t>Развитие исследовательских навыков:</w:t>
      </w:r>
      <w:r w:rsidRPr="00903813">
        <w:t xml:space="preserve"> Вовлечение учащихся в проектную и исследовательскую деятельность, формирование умения ставить гипотезы, проводить эксперименты, анализировать данные и делать выводы.</w:t>
      </w:r>
    </w:p>
    <w:p w14:paraId="6101B3AD" w14:textId="77777777" w:rsidR="00903813" w:rsidRPr="00903813" w:rsidRDefault="00903813" w:rsidP="00903813">
      <w:pPr>
        <w:numPr>
          <w:ilvl w:val="0"/>
          <w:numId w:val="2"/>
        </w:numPr>
      </w:pPr>
      <w:r w:rsidRPr="00903813">
        <w:rPr>
          <w:b/>
          <w:bCs/>
        </w:rPr>
        <w:t>Подготовка к поступлению в вузы естественнонаучного и технического профиля:</w:t>
      </w:r>
      <w:r w:rsidRPr="00903813">
        <w:t xml:space="preserve"> Обеспечение высокого уровня подготовки для успешного прохождения вступительных испытаний в ведущие университеты.</w:t>
      </w:r>
    </w:p>
    <w:p w14:paraId="1956E165" w14:textId="77777777" w:rsidR="00903813" w:rsidRPr="00903813" w:rsidRDefault="00903813" w:rsidP="00903813">
      <w:pPr>
        <w:numPr>
          <w:ilvl w:val="0"/>
          <w:numId w:val="2"/>
        </w:numPr>
      </w:pPr>
      <w:r w:rsidRPr="00903813">
        <w:rPr>
          <w:b/>
          <w:bCs/>
        </w:rPr>
        <w:t>Формирование осознанного выбора профессии:</w:t>
      </w:r>
      <w:r w:rsidRPr="00903813">
        <w:t xml:space="preserve"> Помощь учащимся в понимании многообразия профессий, связанных с естественными науками, и в выборе направления, соответствующего их интересам и способностям.</w:t>
      </w:r>
    </w:p>
    <w:p w14:paraId="3511A899" w14:textId="77777777" w:rsidR="00903813" w:rsidRPr="00903813" w:rsidRDefault="00903813" w:rsidP="00903813">
      <w:r w:rsidRPr="00903813">
        <w:rPr>
          <w:b/>
          <w:bCs/>
        </w:rPr>
        <w:t>Профориентационная работа: неотъемлемая часть профильного обучения</w:t>
      </w:r>
    </w:p>
    <w:p w14:paraId="017DC54F" w14:textId="77777777" w:rsidR="00903813" w:rsidRPr="00903813" w:rsidRDefault="00903813" w:rsidP="00903813">
      <w:r w:rsidRPr="00903813">
        <w:t>Профориентационная работа в рамках естественнонаучного профиля должна быть системной и комплексной, охватывая все этапы обучения. Ее основные направления включают:</w:t>
      </w:r>
    </w:p>
    <w:p w14:paraId="5107255D" w14:textId="77777777" w:rsidR="00903813" w:rsidRPr="00903813" w:rsidRDefault="00903813" w:rsidP="00903813">
      <w:pPr>
        <w:numPr>
          <w:ilvl w:val="0"/>
          <w:numId w:val="3"/>
        </w:numPr>
      </w:pPr>
      <w:r w:rsidRPr="00903813">
        <w:rPr>
          <w:b/>
          <w:bCs/>
        </w:rPr>
        <w:t>Информационно-просветительская деятельность:</w:t>
      </w:r>
    </w:p>
    <w:p w14:paraId="1A314D6F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t>Экскурсии и встречи:</w:t>
      </w:r>
      <w:r w:rsidRPr="00903813">
        <w:t xml:space="preserve"> Организация посещений научных лабораторий, предприятий, музеев, знакомство с работой ученых и специалистов.</w:t>
      </w:r>
    </w:p>
    <w:p w14:paraId="707468CC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t>Встречи с представителями профессий:</w:t>
      </w:r>
      <w:r w:rsidRPr="00903813">
        <w:t xml:space="preserve"> Приглашение в школу успешных ученых, инженеров, врачей, экологов, IT-специалистов для рассказов о своей работе.</w:t>
      </w:r>
    </w:p>
    <w:p w14:paraId="3CE55345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t>Информационные ресурсы:</w:t>
      </w:r>
      <w:r w:rsidRPr="00903813">
        <w:t xml:space="preserve"> Создание и использование информационных стендов, буклетов, онлайн-ресурсов с информацией о профессиях, вузах, образовательных программах.</w:t>
      </w:r>
    </w:p>
    <w:p w14:paraId="44B84CF7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t>Проведение тематических недель и дней:</w:t>
      </w:r>
      <w:r w:rsidRPr="00903813">
        <w:t xml:space="preserve"> Посвящение мероприятий конкретным научным областям или профессиям.</w:t>
      </w:r>
    </w:p>
    <w:p w14:paraId="6D6D83D5" w14:textId="77777777" w:rsidR="00903813" w:rsidRPr="00903813" w:rsidRDefault="00903813" w:rsidP="00903813">
      <w:pPr>
        <w:numPr>
          <w:ilvl w:val="0"/>
          <w:numId w:val="3"/>
        </w:numPr>
      </w:pPr>
      <w:proofErr w:type="spellStart"/>
      <w:r w:rsidRPr="00903813">
        <w:rPr>
          <w:b/>
          <w:bCs/>
        </w:rPr>
        <w:t>Диагностико</w:t>
      </w:r>
      <w:proofErr w:type="spellEnd"/>
      <w:r w:rsidRPr="00903813">
        <w:rPr>
          <w:b/>
          <w:bCs/>
        </w:rPr>
        <w:t>-консультационная деятельность:</w:t>
      </w:r>
    </w:p>
    <w:p w14:paraId="1D6775FF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t>Тестирование и анкетирование:</w:t>
      </w:r>
      <w:r w:rsidRPr="00903813">
        <w:t xml:space="preserve"> Использование профессиональных тестов и опросников для выявления интересов, склонностей и способностей учащихся.</w:t>
      </w:r>
    </w:p>
    <w:p w14:paraId="2526759B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t>Индивидуальные консультации:</w:t>
      </w:r>
      <w:r w:rsidRPr="00903813">
        <w:t xml:space="preserve"> Помощь учащимся в интерпретации результатов тестирования, обсуждении их профессиональных планов.</w:t>
      </w:r>
    </w:p>
    <w:p w14:paraId="4F7A771A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t>Групповые тренинги:</w:t>
      </w:r>
      <w:r w:rsidRPr="00903813">
        <w:t xml:space="preserve"> Развитие навыков самопознания, принятия решений, постановки целей.</w:t>
      </w:r>
    </w:p>
    <w:p w14:paraId="2837F857" w14:textId="77777777" w:rsidR="00903813" w:rsidRPr="00903813" w:rsidRDefault="00903813" w:rsidP="00903813">
      <w:pPr>
        <w:numPr>
          <w:ilvl w:val="0"/>
          <w:numId w:val="3"/>
        </w:numPr>
      </w:pPr>
      <w:r w:rsidRPr="00903813">
        <w:rPr>
          <w:b/>
          <w:bCs/>
        </w:rPr>
        <w:t>Практико-ориентированная деятельность:</w:t>
      </w:r>
    </w:p>
    <w:p w14:paraId="063ED78F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lastRenderedPageBreak/>
        <w:t>Проектная и исследовательская деятельность:</w:t>
      </w:r>
      <w:r w:rsidRPr="00903813">
        <w:t xml:space="preserve"> Вовлечение учащихся в реальные научные проекты, участие в олимпиадах, конкурсах, конференциях.</w:t>
      </w:r>
    </w:p>
    <w:p w14:paraId="33E03409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t>Профессиональные пробы:</w:t>
      </w:r>
      <w:r w:rsidRPr="00903813">
        <w:t xml:space="preserve"> Организация краткосрочных стажировок или практик на предприятиях и в научных учреждениях.</w:t>
      </w:r>
    </w:p>
    <w:p w14:paraId="3B3901C1" w14:textId="77777777" w:rsidR="00903813" w:rsidRPr="00903813" w:rsidRDefault="00903813" w:rsidP="00903813">
      <w:pPr>
        <w:numPr>
          <w:ilvl w:val="1"/>
          <w:numId w:val="3"/>
        </w:numPr>
      </w:pPr>
      <w:r w:rsidRPr="00903813">
        <w:rPr>
          <w:b/>
          <w:bCs/>
        </w:rPr>
        <w:t>Мастер-классы и практические занятия:</w:t>
      </w:r>
      <w:r w:rsidRPr="00903813">
        <w:t xml:space="preserve"> Проведение занятий, имитирующих реальную профессиональную деятельность.</w:t>
      </w:r>
    </w:p>
    <w:p w14:paraId="150523B4" w14:textId="77777777" w:rsidR="00903813" w:rsidRPr="00903813" w:rsidRDefault="00903813" w:rsidP="00903813">
      <w:r w:rsidRPr="00903813">
        <w:rPr>
          <w:b/>
          <w:bCs/>
        </w:rPr>
        <w:t>Организационные аспекты реализации</w:t>
      </w:r>
    </w:p>
    <w:p w14:paraId="01377B06" w14:textId="77777777" w:rsidR="00903813" w:rsidRPr="00903813" w:rsidRDefault="00903813" w:rsidP="00903813">
      <w:r w:rsidRPr="00903813">
        <w:t>Эффективная организация профильного обучения и профориентационной работы естественнонаучного профиля требует комплексного подхода и взаимодействия всех участников образовательного процесса:</w:t>
      </w:r>
    </w:p>
    <w:p w14:paraId="4877455C" w14:textId="77777777" w:rsidR="00903813" w:rsidRPr="00903813" w:rsidRDefault="00903813" w:rsidP="00903813">
      <w:r w:rsidRPr="00903813">
        <w:pict w14:anchorId="51398D1E">
          <v:rect id="_x0000_i1031" style="width:0;height:1.5pt" o:hralign="center" o:hrstd="t" o:hr="t" fillcolor="#a0a0a0" stroked="f"/>
        </w:pict>
      </w:r>
    </w:p>
    <w:p w14:paraId="22ACAC66" w14:textId="77777777" w:rsidR="00903813" w:rsidRPr="00903813" w:rsidRDefault="00903813" w:rsidP="00903813"/>
    <w:p w14:paraId="555E790E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Учебный план:</w:t>
      </w:r>
      <w:r w:rsidRPr="00903813">
        <w:t xml:space="preserve"> Разработка гибких учебных планов, предусматривающих углубленное изучение профильных предметов, выбор элективных курсов, проектную и исследовательскую деятельность. Важно предусмотреть возможность междисциплинарных связей и интеграции знаний.</w:t>
      </w:r>
    </w:p>
    <w:p w14:paraId="2456EA2D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Кадровое обеспечение:</w:t>
      </w:r>
      <w:r w:rsidRPr="00903813">
        <w:t xml:space="preserve"> Привлечение высококвалифицированных педагогических кадров, имеющих опыт работы в профильных областях, а также специалистов из научных и производственных сфер. Повышение квалификации учителей по вопросам современных научных достижений и профориентации.</w:t>
      </w:r>
    </w:p>
    <w:p w14:paraId="35627CE4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Материально-техническая база:</w:t>
      </w:r>
      <w:r w:rsidRPr="00903813">
        <w:t xml:space="preserve"> Обеспечение школ современным лабораторным оборудованием, компьютерной техникой, доступом к научным базам данных и онлайн-ресурсам. Создание условий для проведения экспериментов и исследований.</w:t>
      </w:r>
    </w:p>
    <w:p w14:paraId="1E5E07AE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Взаимодействие с вузами и предприятиями:</w:t>
      </w:r>
      <w:r w:rsidRPr="00903813">
        <w:t xml:space="preserve"> Установление партнерских отношений с университетами, научно-исследовательскими институтами и профильными предприятиями. Это может включать совместные проекты, экскурсии, мастер-классы, привлечение специалистов для проведения занятий и консультаций.</w:t>
      </w:r>
    </w:p>
    <w:p w14:paraId="18595151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Родительская общественность:</w:t>
      </w:r>
      <w:r w:rsidRPr="00903813">
        <w:t xml:space="preserve"> Вовлечение родителей в процесс профориентации. Проведение родительских собраний, консультаций, дней открытых дверей, где родители могут получить информацию о возможностях профильного обучения и дальнейшего профессионального пути своих детей.</w:t>
      </w:r>
    </w:p>
    <w:p w14:paraId="35913F42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Система оценки:</w:t>
      </w:r>
      <w:r w:rsidRPr="00903813">
        <w:t xml:space="preserve"> Разработка системы оценки, которая учитывает не только академические достижения, но и развитие УУД, исследовательских навыков, </w:t>
      </w:r>
      <w:r w:rsidRPr="00903813">
        <w:lastRenderedPageBreak/>
        <w:t>творческого потенциала учащихся. Использование разнообразных форм контроля: проектные работы, презентации, портфолио, участие в олимпиадах и конкурсах.</w:t>
      </w:r>
    </w:p>
    <w:p w14:paraId="20348E9C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Информационная поддержка:</w:t>
      </w:r>
      <w:r w:rsidRPr="00903813">
        <w:t xml:space="preserve"> Создание единой информационной среды, где учащиеся, родители и педагоги могут получить актуальную информацию о профильном обучении, профессиях, вузах, мероприятиях. Использование школьного сайта, социальных сетей, информационных стендов.</w:t>
      </w:r>
    </w:p>
    <w:p w14:paraId="1B4FC307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Индивидуализация образовательного маршрута:</w:t>
      </w:r>
      <w:r w:rsidRPr="00903813">
        <w:t xml:space="preserve"> Предоставление учащимся возможности выбора индивидуальных образовательных траекторий в рамках естественнонаучного профиля, учитывая их интересы, способности и будущие профессиональные планы. Это может включать выбор элективных курсов, тем для проектной и исследовательской деятельности.</w:t>
      </w:r>
    </w:p>
    <w:p w14:paraId="5DF99A8A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Формирование мотивации к обучению:</w:t>
      </w:r>
      <w:r w:rsidRPr="00903813">
        <w:t xml:space="preserve"> Создание стимулирующей образовательной среды, где учащиеся чувствуют себя успешными, видят практическую значимость изучаемого материала и понимают связь между знаниями и будущей профессией. Использование интерактивных методов обучения, игровых технологий, проблемно-ориентированного подхода.</w:t>
      </w:r>
    </w:p>
    <w:p w14:paraId="4BAA8669" w14:textId="77777777" w:rsidR="00903813" w:rsidRPr="00903813" w:rsidRDefault="00903813" w:rsidP="00903813">
      <w:pPr>
        <w:numPr>
          <w:ilvl w:val="0"/>
          <w:numId w:val="4"/>
        </w:numPr>
      </w:pPr>
      <w:r w:rsidRPr="00903813">
        <w:rPr>
          <w:b/>
          <w:bCs/>
        </w:rPr>
        <w:t>Непрерывность профориентационной работы:</w:t>
      </w:r>
      <w:r w:rsidRPr="00903813">
        <w:t xml:space="preserve"> Профориентация должна быть не разовым мероприятием, а непрерывным процессом, сопровождающим учащегося на протяжении всего периода обучения в школе. От начальных классов, где закладываются основы интереса к наукам, до старших классов, где происходит окончательный выбор профессионального пути.</w:t>
      </w:r>
    </w:p>
    <w:p w14:paraId="67F341A9" w14:textId="77777777" w:rsidR="00903813" w:rsidRPr="00903813" w:rsidRDefault="00903813" w:rsidP="00903813">
      <w:r w:rsidRPr="00903813">
        <w:rPr>
          <w:b/>
          <w:bCs/>
        </w:rPr>
        <w:t>Вызовы и перспективы</w:t>
      </w:r>
    </w:p>
    <w:p w14:paraId="7A2AD039" w14:textId="77777777" w:rsidR="00903813" w:rsidRPr="00903813" w:rsidRDefault="00903813" w:rsidP="00903813">
      <w:r w:rsidRPr="00903813">
        <w:t>Реализация профильного обучения и профориентационной работы естественнонаучного профиля в условиях ФГОС сталкивается с определенными вызовами:</w:t>
      </w:r>
    </w:p>
    <w:p w14:paraId="5783271F" w14:textId="77777777" w:rsidR="00903813" w:rsidRPr="00903813" w:rsidRDefault="00903813" w:rsidP="00903813">
      <w:pPr>
        <w:numPr>
          <w:ilvl w:val="0"/>
          <w:numId w:val="5"/>
        </w:numPr>
      </w:pPr>
      <w:r w:rsidRPr="00903813">
        <w:rPr>
          <w:b/>
          <w:bCs/>
        </w:rPr>
        <w:t>Недостаток квалифицированных кадров</w:t>
      </w:r>
      <w:proofErr w:type="gramStart"/>
      <w:r w:rsidRPr="00903813">
        <w:rPr>
          <w:b/>
          <w:bCs/>
        </w:rPr>
        <w:t>:</w:t>
      </w:r>
      <w:r w:rsidRPr="00903813">
        <w:t xml:space="preserve"> Особенно</w:t>
      </w:r>
      <w:proofErr w:type="gramEnd"/>
      <w:r w:rsidRPr="00903813">
        <w:t xml:space="preserve"> в регионах, где может быть дефицит учителей с профильным образованием и опытом работы в научных или производственных сферах.</w:t>
      </w:r>
    </w:p>
    <w:p w14:paraId="5D80B962" w14:textId="77777777" w:rsidR="00903813" w:rsidRPr="00903813" w:rsidRDefault="00903813" w:rsidP="00903813">
      <w:pPr>
        <w:numPr>
          <w:ilvl w:val="0"/>
          <w:numId w:val="5"/>
        </w:numPr>
      </w:pPr>
      <w:r w:rsidRPr="00903813">
        <w:rPr>
          <w:b/>
          <w:bCs/>
        </w:rPr>
        <w:t>Материально-техническое обеспечение</w:t>
      </w:r>
      <w:proofErr w:type="gramStart"/>
      <w:r w:rsidRPr="00903813">
        <w:rPr>
          <w:b/>
          <w:bCs/>
        </w:rPr>
        <w:t>:</w:t>
      </w:r>
      <w:r w:rsidRPr="00903813">
        <w:t xml:space="preserve"> Не</w:t>
      </w:r>
      <w:proofErr w:type="gramEnd"/>
      <w:r w:rsidRPr="00903813">
        <w:t xml:space="preserve"> все школы имеют достаточное финансирование для приобретения современного оборудования и проведения сложных экспериментов.</w:t>
      </w:r>
    </w:p>
    <w:p w14:paraId="2E54DEBC" w14:textId="77777777" w:rsidR="00903813" w:rsidRPr="00903813" w:rsidRDefault="00903813" w:rsidP="00903813">
      <w:pPr>
        <w:numPr>
          <w:ilvl w:val="0"/>
          <w:numId w:val="5"/>
        </w:numPr>
      </w:pPr>
      <w:r w:rsidRPr="00903813">
        <w:rPr>
          <w:b/>
          <w:bCs/>
        </w:rPr>
        <w:t>Сложность интеграции:</w:t>
      </w:r>
      <w:r w:rsidRPr="00903813">
        <w:t xml:space="preserve"> Обеспечение реальной междисциплинарной интеграции и связи между различными естественнонаучными предметами требует значительных усилий и методической поддержки.</w:t>
      </w:r>
    </w:p>
    <w:p w14:paraId="08F1AEFD" w14:textId="77777777" w:rsidR="00903813" w:rsidRPr="00903813" w:rsidRDefault="00903813" w:rsidP="00903813">
      <w:pPr>
        <w:numPr>
          <w:ilvl w:val="0"/>
          <w:numId w:val="5"/>
        </w:numPr>
      </w:pPr>
      <w:r w:rsidRPr="00903813">
        <w:rPr>
          <w:b/>
          <w:bCs/>
        </w:rPr>
        <w:lastRenderedPageBreak/>
        <w:t>Изменчивость рынка труда:</w:t>
      </w:r>
      <w:r w:rsidRPr="00903813">
        <w:t xml:space="preserve"> Быстрое развитие технологий и появление новых профессий требует постоянного обновления содержания образования и профориентационной информации.</w:t>
      </w:r>
    </w:p>
    <w:p w14:paraId="3AD2C779" w14:textId="77777777" w:rsidR="00903813" w:rsidRPr="00903813" w:rsidRDefault="00903813" w:rsidP="00903813">
      <w:r w:rsidRPr="00903813">
        <w:t>Несмотря на эти вызовы, перспективы развития естественнонаучного профильного обучения и профориентационной работы весьма обнадеживающие. ФГОС создают благоприятную основу для формирования у учащихся не только глубоких знаний, но и ключевых компетенций, необходимых для</w:t>
      </w:r>
    </w:p>
    <w:p w14:paraId="433B4333" w14:textId="77777777" w:rsidR="00903813" w:rsidRPr="00903813" w:rsidRDefault="00903813" w:rsidP="00903813"/>
    <w:p w14:paraId="538DD7FD" w14:textId="77777777" w:rsidR="00903813" w:rsidRPr="00903813" w:rsidRDefault="00903813" w:rsidP="00903813">
      <w:r w:rsidRPr="00903813">
        <w:t>успешной самореализации в современном мире. Активное взаимодействие школы с вузами, научными организациями и предприятиями, использование современных образовательных технологий и индивидуальный подход к каждому ученику позволят максимально раскрыть потенциал молодого поколения и подготовить его к решению актуальных задач науки, техники и общества.</w:t>
      </w:r>
    </w:p>
    <w:p w14:paraId="03A3E44C" w14:textId="77777777" w:rsidR="00903813" w:rsidRPr="00903813" w:rsidRDefault="00903813" w:rsidP="00903813">
      <w:r w:rsidRPr="00903813">
        <w:rPr>
          <w:b/>
          <w:bCs/>
        </w:rPr>
        <w:t>Ключевые направления развития:</w:t>
      </w:r>
    </w:p>
    <w:p w14:paraId="4179F3DA" w14:textId="77777777" w:rsidR="00903813" w:rsidRPr="00903813" w:rsidRDefault="00903813" w:rsidP="00903813">
      <w:pPr>
        <w:numPr>
          <w:ilvl w:val="0"/>
          <w:numId w:val="6"/>
        </w:numPr>
      </w:pPr>
      <w:r w:rsidRPr="00903813">
        <w:rPr>
          <w:b/>
          <w:bCs/>
        </w:rPr>
        <w:t>Цифровизация образовательного процесса:</w:t>
      </w:r>
      <w:r w:rsidRPr="00903813">
        <w:t xml:space="preserve"> Активное внедрение цифровых образовательных платформ, виртуальных лабораторий, симуляторов и онлайн-курсов для углубленного изучения естественнонаучных дисциплин и проведения дистанционных профориентационных мероприятий. Это позволит преодолеть географические барьеры и обеспечить доступ к качественному образованию для всех учащихся.</w:t>
      </w:r>
    </w:p>
    <w:p w14:paraId="7E8CCD88" w14:textId="77777777" w:rsidR="00903813" w:rsidRPr="00903813" w:rsidRDefault="00903813" w:rsidP="00903813">
      <w:pPr>
        <w:numPr>
          <w:ilvl w:val="0"/>
          <w:numId w:val="6"/>
        </w:numPr>
      </w:pPr>
      <w:r w:rsidRPr="00903813">
        <w:rPr>
          <w:b/>
          <w:bCs/>
        </w:rPr>
        <w:t>Развитие проектной и исследовательской культуры:</w:t>
      </w:r>
      <w:r w:rsidRPr="00903813">
        <w:t xml:space="preserve"> Стимулирование участия учащихся в научно-практических конференциях, конкурсах исследовательских работ, олимпиадах различного уровня. Создание школьных научных обществ, где ученики смогут под руководством опытных наставников заниматься реальными научными проектами.</w:t>
      </w:r>
    </w:p>
    <w:p w14:paraId="7AB5C45A" w14:textId="77777777" w:rsidR="00903813" w:rsidRPr="00903813" w:rsidRDefault="00903813" w:rsidP="00903813">
      <w:pPr>
        <w:numPr>
          <w:ilvl w:val="0"/>
          <w:numId w:val="6"/>
        </w:numPr>
      </w:pPr>
      <w:r w:rsidRPr="00903813">
        <w:rPr>
          <w:b/>
          <w:bCs/>
        </w:rPr>
        <w:t>Интеграция с дополнительным образованием:</w:t>
      </w:r>
      <w:r w:rsidRPr="00903813">
        <w:t xml:space="preserve"> Тесное сотрудничество с центрами дополнительного образования, кружками, студиями естественнонаучной направленности. Это позволит учащимся расширить свои знания и навыки за пределами школьной программы, попробовать себя в различных областях науки и техники.</w:t>
      </w:r>
    </w:p>
    <w:p w14:paraId="2A3AAAE8" w14:textId="77777777" w:rsidR="00903813" w:rsidRPr="00903813" w:rsidRDefault="00903813" w:rsidP="00903813">
      <w:pPr>
        <w:numPr>
          <w:ilvl w:val="0"/>
          <w:numId w:val="6"/>
        </w:numPr>
      </w:pPr>
      <w:r w:rsidRPr="00903813">
        <w:rPr>
          <w:b/>
          <w:bCs/>
        </w:rPr>
        <w:t>Формирование "мягких навыков" (</w:t>
      </w:r>
      <w:proofErr w:type="spellStart"/>
      <w:r w:rsidRPr="00903813">
        <w:rPr>
          <w:b/>
          <w:bCs/>
        </w:rPr>
        <w:t>soft</w:t>
      </w:r>
      <w:proofErr w:type="spellEnd"/>
      <w:r w:rsidRPr="00903813">
        <w:rPr>
          <w:b/>
          <w:bCs/>
        </w:rPr>
        <w:t xml:space="preserve"> </w:t>
      </w:r>
      <w:proofErr w:type="spellStart"/>
      <w:r w:rsidRPr="00903813">
        <w:rPr>
          <w:b/>
          <w:bCs/>
        </w:rPr>
        <w:t>skills</w:t>
      </w:r>
      <w:proofErr w:type="spellEnd"/>
      <w:r w:rsidRPr="00903813">
        <w:rPr>
          <w:b/>
          <w:bCs/>
        </w:rPr>
        <w:t>):</w:t>
      </w:r>
      <w:r w:rsidRPr="00903813">
        <w:t xml:space="preserve"> Особое внимание следует уделять развитию критического мышления, креативности, умения работать в команде, лидерских качеств, эмоционального интеллекта. Эти навыки становятся все более востребованными в любой профессиональной сфере, особенно в наукоемких отраслях.</w:t>
      </w:r>
    </w:p>
    <w:p w14:paraId="27BB43A6" w14:textId="77777777" w:rsidR="00903813" w:rsidRPr="00903813" w:rsidRDefault="00903813" w:rsidP="00903813">
      <w:pPr>
        <w:numPr>
          <w:ilvl w:val="0"/>
          <w:numId w:val="6"/>
        </w:numPr>
      </w:pPr>
      <w:r w:rsidRPr="00903813">
        <w:rPr>
          <w:b/>
          <w:bCs/>
        </w:rPr>
        <w:t>Профессиональные пробы и стажировки:</w:t>
      </w:r>
      <w:r w:rsidRPr="00903813">
        <w:t xml:space="preserve"> Расширение возможностей для учащихся пройти краткосрочные стажировки или профессиональные пробы на базе предприятий, в научно-исследовательских институтах, медицинских </w:t>
      </w:r>
      <w:r w:rsidRPr="00903813">
        <w:lastRenderedPageBreak/>
        <w:t>учреждениях. Это позволит им получить реальное представление о будущей профессии и принять более осознанное решение.</w:t>
      </w:r>
    </w:p>
    <w:p w14:paraId="561F0814" w14:textId="77777777" w:rsidR="00903813" w:rsidRPr="00903813" w:rsidRDefault="00903813" w:rsidP="00903813">
      <w:pPr>
        <w:numPr>
          <w:ilvl w:val="0"/>
          <w:numId w:val="6"/>
        </w:numPr>
      </w:pPr>
      <w:r w:rsidRPr="00903813">
        <w:rPr>
          <w:b/>
          <w:bCs/>
        </w:rPr>
        <w:t>Развитие наставничества:</w:t>
      </w:r>
      <w:r w:rsidRPr="00903813">
        <w:t xml:space="preserve"> Привлечение к работе с учащимися успешных выпускников школы, студентов вузов, молодых специалистов. Наставники могут делиться своим опытом, вдохновлять, помогать в выборе образовательной траектории и карьерного пути.</w:t>
      </w:r>
    </w:p>
    <w:p w14:paraId="7F85B9C2" w14:textId="77777777" w:rsidR="00903813" w:rsidRPr="00903813" w:rsidRDefault="00903813" w:rsidP="00903813">
      <w:pPr>
        <w:numPr>
          <w:ilvl w:val="0"/>
          <w:numId w:val="6"/>
        </w:numPr>
      </w:pPr>
      <w:r w:rsidRPr="00903813">
        <w:rPr>
          <w:b/>
          <w:bCs/>
        </w:rPr>
        <w:t>Системный мониторинг и анализ:</w:t>
      </w:r>
      <w:r w:rsidRPr="00903813">
        <w:t xml:space="preserve"> Регулярное проведение мониторинга эффективности профильного обучения и профориентационной работы. Анализ результатов, выявление сильных и слабых сторон, внесение корректировок в образовательные программы и методики.</w:t>
      </w:r>
    </w:p>
    <w:p w14:paraId="48344727" w14:textId="77777777" w:rsidR="00903813" w:rsidRPr="00903813" w:rsidRDefault="00903813" w:rsidP="00903813">
      <w:pPr>
        <w:numPr>
          <w:ilvl w:val="0"/>
          <w:numId w:val="6"/>
        </w:numPr>
      </w:pPr>
      <w:r w:rsidRPr="00903813">
        <w:rPr>
          <w:b/>
          <w:bCs/>
        </w:rPr>
        <w:t>Формирование осознанного отношения к науке и технологиям:</w:t>
      </w:r>
      <w:r w:rsidRPr="00903813">
        <w:t xml:space="preserve"> Воспитание у учащихся понимания роли науки и технологий в развитии общества, формирование ответственного отношения к научным открытиям и их применению.</w:t>
      </w:r>
    </w:p>
    <w:p w14:paraId="189A90CA" w14:textId="77777777" w:rsidR="00903813" w:rsidRPr="00903813" w:rsidRDefault="00903813" w:rsidP="00903813">
      <w:r w:rsidRPr="00903813">
        <w:rPr>
          <w:b/>
          <w:bCs/>
        </w:rPr>
        <w:t>Заключение</w:t>
      </w:r>
    </w:p>
    <w:p w14:paraId="7CB16541" w14:textId="77777777" w:rsidR="00903813" w:rsidRPr="00903813" w:rsidRDefault="00903813" w:rsidP="00903813">
      <w:r w:rsidRPr="00903813">
        <w:t>Организация профильного обучения и профориентационной работы естественнонаучного профиля в условиях реализации ФГОС – это сложный, но крайне важный процесс. Он требует системного подхода, тесного взаимодействия всех участников образовательного процесса, постоянного совершенствования методик и содержания обучения. Успешная реализация этих задач позволит не только подготовить высококвалифицированных специалистов для различных отраслей экономики, но и сформировать у молодого поколения активную жизненную позицию, стремление к познанию и готовность вносить свой вклад в развитие науки и общества. В конечном итоге, это инвестиция в будущее страны, в ее научный и технологический потенциал.</w:t>
      </w:r>
    </w:p>
    <w:p w14:paraId="44C53F4B" w14:textId="0DCD730A" w:rsidR="00493808" w:rsidRDefault="00903813" w:rsidP="00903813">
      <w:r w:rsidRPr="00903813">
        <w:br/>
      </w:r>
      <w:r w:rsidRPr="00903813">
        <w:br/>
      </w:r>
    </w:p>
    <w:sectPr w:rsidR="0049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77486"/>
    <w:multiLevelType w:val="multilevel"/>
    <w:tmpl w:val="F30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F42A3"/>
    <w:multiLevelType w:val="multilevel"/>
    <w:tmpl w:val="6C62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20"/>
    <w:multiLevelType w:val="multilevel"/>
    <w:tmpl w:val="002C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95D46"/>
    <w:multiLevelType w:val="multilevel"/>
    <w:tmpl w:val="30F2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07EDC"/>
    <w:multiLevelType w:val="multilevel"/>
    <w:tmpl w:val="0228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B3140"/>
    <w:multiLevelType w:val="multilevel"/>
    <w:tmpl w:val="4E02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972408">
    <w:abstractNumId w:val="4"/>
  </w:num>
  <w:num w:numId="2" w16cid:durableId="1402483890">
    <w:abstractNumId w:val="1"/>
  </w:num>
  <w:num w:numId="3" w16cid:durableId="563300891">
    <w:abstractNumId w:val="3"/>
  </w:num>
  <w:num w:numId="4" w16cid:durableId="1835409110">
    <w:abstractNumId w:val="0"/>
  </w:num>
  <w:num w:numId="5" w16cid:durableId="272128715">
    <w:abstractNumId w:val="2"/>
  </w:num>
  <w:num w:numId="6" w16cid:durableId="125216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F2"/>
    <w:rsid w:val="001923F2"/>
    <w:rsid w:val="003E6B27"/>
    <w:rsid w:val="00493808"/>
    <w:rsid w:val="005E5EB3"/>
    <w:rsid w:val="0090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C71D"/>
  <w15:chartTrackingRefBased/>
  <w15:docId w15:val="{4B0FFFFD-665E-40A9-B07B-DF01E29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3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3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3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3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3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3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3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23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3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3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23F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381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03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1795</Words>
  <Characters>10234</Characters>
  <Application>Microsoft Office Word</Application>
  <DocSecurity>0</DocSecurity>
  <Lines>85</Lines>
  <Paragraphs>24</Paragraphs>
  <ScaleCrop>false</ScaleCrop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 7</dc:creator>
  <cp:keywords/>
  <dc:description/>
  <cp:lastModifiedBy>школа  7</cp:lastModifiedBy>
  <cp:revision>2</cp:revision>
  <dcterms:created xsi:type="dcterms:W3CDTF">2026-05-13T08:07:00Z</dcterms:created>
  <dcterms:modified xsi:type="dcterms:W3CDTF">2026-05-13T08:17:00Z</dcterms:modified>
</cp:coreProperties>
</file>