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2D48B" w14:textId="1C48CEB6" w:rsidR="00C93EF9" w:rsidRPr="00C93EF9" w:rsidRDefault="00C93EF9" w:rsidP="000A12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EF9">
        <w:rPr>
          <w:rFonts w:ascii="Times New Roman" w:hAnsi="Times New Roman" w:cs="Times New Roman"/>
          <w:b/>
          <w:sz w:val="24"/>
          <w:szCs w:val="24"/>
        </w:rPr>
        <w:t>Дифференциальная диагностика корковой и подкорковой (экстрапирамидной) дизартрии таблица</w:t>
      </w:r>
    </w:p>
    <w:p w14:paraId="1BA678EC" w14:textId="38535927" w:rsidR="00C93EF9" w:rsidRPr="00C93EF9" w:rsidRDefault="00C93EF9" w:rsidP="00C93EF9">
      <w:pPr>
        <w:rPr>
          <w:rFonts w:ascii="Times New Roman" w:hAnsi="Times New Roman" w:cs="Times New Roman"/>
          <w:sz w:val="24"/>
          <w:szCs w:val="24"/>
        </w:rPr>
      </w:pPr>
      <w:r w:rsidRPr="00C93EF9">
        <w:rPr>
          <w:rFonts w:ascii="Times New Roman" w:hAnsi="Times New Roman" w:cs="Times New Roman"/>
          <w:sz w:val="24"/>
          <w:szCs w:val="24"/>
        </w:rPr>
        <w:t xml:space="preserve">Данная таблица составлена по материалам </w:t>
      </w:r>
      <w:r w:rsidRPr="00C93EF9">
        <w:rPr>
          <w:rFonts w:ascii="Times New Roman" w:hAnsi="Times New Roman" w:cs="Times New Roman"/>
          <w:bCs/>
          <w:sz w:val="24"/>
          <w:szCs w:val="24"/>
        </w:rPr>
        <w:t>Правдиной О.В.</w:t>
      </w:r>
    </w:p>
    <w:tbl>
      <w:tblPr>
        <w:tblStyle w:val="a3"/>
        <w:tblpPr w:leftFromText="180" w:rightFromText="180" w:vertAnchor="text" w:horzAnchor="margin" w:tblpY="196"/>
        <w:tblW w:w="0" w:type="auto"/>
        <w:tblLook w:val="04A0" w:firstRow="1" w:lastRow="0" w:firstColumn="1" w:lastColumn="0" w:noHBand="0" w:noVBand="1"/>
      </w:tblPr>
      <w:tblGrid>
        <w:gridCol w:w="2833"/>
        <w:gridCol w:w="4964"/>
        <w:gridCol w:w="5954"/>
      </w:tblGrid>
      <w:tr w:rsidR="00C93EF9" w:rsidRPr="00C93EF9" w14:paraId="74DB6E2B" w14:textId="77777777" w:rsidTr="00C93EF9">
        <w:trPr>
          <w:trHeight w:val="999"/>
        </w:trPr>
        <w:tc>
          <w:tcPr>
            <w:tcW w:w="2833" w:type="dxa"/>
          </w:tcPr>
          <w:p w14:paraId="0E436E7B" w14:textId="77777777" w:rsidR="00C93EF9" w:rsidRPr="00C93EF9" w:rsidRDefault="00C93EF9" w:rsidP="00C93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F9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Дифференциальный критерий</w:t>
            </w:r>
          </w:p>
        </w:tc>
        <w:tc>
          <w:tcPr>
            <w:tcW w:w="4964" w:type="dxa"/>
          </w:tcPr>
          <w:p w14:paraId="4BF20E7E" w14:textId="4C0D49E3" w:rsidR="00C93EF9" w:rsidRPr="00C93EF9" w:rsidRDefault="00D836D8" w:rsidP="00C93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Подкорковая (э</w:t>
            </w:r>
            <w:r w:rsidR="00C93EF9" w:rsidRPr="00C93EF9">
              <w:rPr>
                <w:rFonts w:ascii="Times New Roman" w:hAnsi="Times New Roman" w:cs="Times New Roman"/>
                <w:b/>
                <w:sz w:val="24"/>
                <w:szCs w:val="24"/>
              </w:rPr>
              <w:t>кстрапирамидная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C93EF9" w:rsidRPr="00C93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дизартрия</w:t>
            </w:r>
          </w:p>
        </w:tc>
        <w:tc>
          <w:tcPr>
            <w:tcW w:w="5954" w:type="dxa"/>
          </w:tcPr>
          <w:p w14:paraId="2022DF40" w14:textId="77777777" w:rsidR="00C93EF9" w:rsidRPr="00C93EF9" w:rsidRDefault="00C93EF9" w:rsidP="00C93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EF9">
              <w:rPr>
                <w:rFonts w:ascii="Times New Roman" w:hAnsi="Times New Roman" w:cs="Times New Roman"/>
                <w:b/>
                <w:sz w:val="24"/>
                <w:szCs w:val="24"/>
              </w:rPr>
              <w:t>Корковая дизартрия</w:t>
            </w:r>
          </w:p>
        </w:tc>
      </w:tr>
      <w:tr w:rsidR="00C93EF9" w:rsidRPr="00C93EF9" w14:paraId="6C374A36" w14:textId="77777777" w:rsidTr="00C93EF9">
        <w:tc>
          <w:tcPr>
            <w:tcW w:w="2833" w:type="dxa"/>
          </w:tcPr>
          <w:p w14:paraId="211E523F" w14:textId="77777777" w:rsidR="00C93EF9" w:rsidRPr="00C93EF9" w:rsidRDefault="00C93EF9" w:rsidP="00C93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EF9">
              <w:rPr>
                <w:rFonts w:ascii="Times New Roman" w:hAnsi="Times New Roman" w:cs="Times New Roman"/>
                <w:b/>
                <w:sz w:val="24"/>
                <w:szCs w:val="24"/>
              </w:rPr>
              <w:t>Локализация поражения</w:t>
            </w:r>
          </w:p>
        </w:tc>
        <w:tc>
          <w:tcPr>
            <w:tcW w:w="4964" w:type="dxa"/>
          </w:tcPr>
          <w:p w14:paraId="234600A6" w14:textId="06509A5F" w:rsidR="00C93EF9" w:rsidRPr="00C93EF9" w:rsidRDefault="00C93EF9" w:rsidP="00C93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F9">
              <w:rPr>
                <w:rFonts w:ascii="Times New Roman" w:hAnsi="Times New Roman" w:cs="Times New Roman"/>
                <w:sz w:val="24"/>
                <w:szCs w:val="24"/>
              </w:rPr>
              <w:t xml:space="preserve">Экстрапирамидная система. </w:t>
            </w:r>
            <w:r w:rsidRPr="00C93EF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AFCFF"/>
              </w:rPr>
              <w:t xml:space="preserve"> </w:t>
            </w:r>
            <w:r w:rsidRPr="00C93EF9">
              <w:rPr>
                <w:rFonts w:ascii="Times New Roman" w:hAnsi="Times New Roman" w:cs="Times New Roman"/>
                <w:sz w:val="24"/>
                <w:szCs w:val="24"/>
              </w:rPr>
              <w:t xml:space="preserve">Стриатум и </w:t>
            </w:r>
            <w:proofErr w:type="spellStart"/>
            <w:r w:rsidRPr="00C93EF9">
              <w:rPr>
                <w:rFonts w:ascii="Times New Roman" w:hAnsi="Times New Roman" w:cs="Times New Roman"/>
                <w:sz w:val="24"/>
                <w:szCs w:val="24"/>
              </w:rPr>
              <w:t>паллидум</w:t>
            </w:r>
            <w:proofErr w:type="spellEnd"/>
            <w:r w:rsidRPr="00C93EF9">
              <w:rPr>
                <w:rFonts w:ascii="Times New Roman" w:hAnsi="Times New Roman" w:cs="Times New Roman"/>
                <w:sz w:val="24"/>
                <w:szCs w:val="24"/>
              </w:rPr>
              <w:t xml:space="preserve"> – подкорковые ядра. Эти структуры регулируют мышечный тонус, а также позволяют придать речи эмоциональную выразительность.</w:t>
            </w:r>
          </w:p>
        </w:tc>
        <w:tc>
          <w:tcPr>
            <w:tcW w:w="5954" w:type="dxa"/>
          </w:tcPr>
          <w:p w14:paraId="608E4438" w14:textId="4CDBF242" w:rsidR="00C93EF9" w:rsidRPr="00C93EF9" w:rsidRDefault="00C93EF9" w:rsidP="00C93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F9">
              <w:rPr>
                <w:rFonts w:ascii="Times New Roman" w:hAnsi="Times New Roman" w:cs="Times New Roman"/>
                <w:sz w:val="24"/>
                <w:szCs w:val="24"/>
              </w:rPr>
              <w:t>Поражение вторичных двигательных зон доминантного полушария.</w:t>
            </w:r>
            <w:r w:rsidRPr="00C93EF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br/>
              <w:t>Корковые структуры головного мозга. Именно кора отвечает за работу речевой мускулатуры и способность человека к говорению</w:t>
            </w:r>
          </w:p>
          <w:p w14:paraId="4F9397E7" w14:textId="77777777" w:rsidR="00C93EF9" w:rsidRPr="00C93EF9" w:rsidRDefault="00C93EF9" w:rsidP="00C93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EF9" w:rsidRPr="00C93EF9" w14:paraId="316B0504" w14:textId="77777777" w:rsidTr="00C93EF9">
        <w:tc>
          <w:tcPr>
            <w:tcW w:w="2833" w:type="dxa"/>
          </w:tcPr>
          <w:p w14:paraId="2026FCE5" w14:textId="77777777" w:rsidR="00C93EF9" w:rsidRPr="00C93EF9" w:rsidRDefault="00C93EF9" w:rsidP="00C93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EF9">
              <w:rPr>
                <w:rFonts w:ascii="Times New Roman" w:hAnsi="Times New Roman" w:cs="Times New Roman"/>
                <w:b/>
                <w:sz w:val="24"/>
                <w:szCs w:val="24"/>
              </w:rPr>
              <w:t>Неврологическая симптоматика</w:t>
            </w:r>
          </w:p>
        </w:tc>
        <w:tc>
          <w:tcPr>
            <w:tcW w:w="4964" w:type="dxa"/>
          </w:tcPr>
          <w:p w14:paraId="12C099A9" w14:textId="77777777" w:rsidR="00C93EF9" w:rsidRPr="00C93EF9" w:rsidRDefault="00C93EF9" w:rsidP="00C93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F9">
              <w:rPr>
                <w:rFonts w:ascii="Times New Roman" w:hAnsi="Times New Roman" w:cs="Times New Roman"/>
                <w:sz w:val="24"/>
                <w:szCs w:val="24"/>
              </w:rPr>
              <w:t>Дистонии и гиперкинезы. Более ярко, представлены синкинезии и оральные автоматизмы.</w:t>
            </w:r>
          </w:p>
        </w:tc>
        <w:tc>
          <w:tcPr>
            <w:tcW w:w="5954" w:type="dxa"/>
          </w:tcPr>
          <w:p w14:paraId="01D3B247" w14:textId="77777777" w:rsidR="00C93EF9" w:rsidRPr="00C93EF9" w:rsidRDefault="00C93EF9" w:rsidP="00C93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F9">
              <w:rPr>
                <w:rFonts w:ascii="Times New Roman" w:hAnsi="Times New Roman" w:cs="Times New Roman"/>
                <w:sz w:val="24"/>
                <w:szCs w:val="24"/>
              </w:rPr>
              <w:t>Дезорганизация сложных двигательных навыков. Апраксии</w:t>
            </w:r>
          </w:p>
        </w:tc>
      </w:tr>
      <w:tr w:rsidR="00C93EF9" w:rsidRPr="00C93EF9" w14:paraId="094DC11C" w14:textId="77777777" w:rsidTr="00C93EF9">
        <w:tc>
          <w:tcPr>
            <w:tcW w:w="2833" w:type="dxa"/>
          </w:tcPr>
          <w:p w14:paraId="71AC3F46" w14:textId="22C89F44" w:rsidR="00C93EF9" w:rsidRPr="00C93EF9" w:rsidRDefault="00C93EF9" w:rsidP="00C93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EF9">
              <w:rPr>
                <w:rFonts w:ascii="Times New Roman" w:hAnsi="Times New Roman" w:cs="Times New Roman"/>
                <w:b/>
                <w:sz w:val="24"/>
                <w:szCs w:val="24"/>
              </w:rPr>
              <w:t>Нарушение речи</w:t>
            </w:r>
          </w:p>
        </w:tc>
        <w:tc>
          <w:tcPr>
            <w:tcW w:w="4964" w:type="dxa"/>
          </w:tcPr>
          <w:p w14:paraId="125CC318" w14:textId="77777777" w:rsidR="00C93EF9" w:rsidRPr="00C93EF9" w:rsidRDefault="00C93EF9" w:rsidP="00C93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F9">
              <w:rPr>
                <w:rFonts w:ascii="Times New Roman" w:hAnsi="Times New Roman" w:cs="Times New Roman"/>
                <w:sz w:val="24"/>
                <w:szCs w:val="24"/>
              </w:rPr>
              <w:t>Мышечный тонус речевого аппарата нестабилен, мышцы сокращаются непроизвольно. Человек испытывает трудность при попытке сохранить артикуляционную позу.</w:t>
            </w:r>
          </w:p>
          <w:p w14:paraId="0BB52F69" w14:textId="77777777" w:rsidR="00C93EF9" w:rsidRPr="00C93EF9" w:rsidRDefault="00C93EF9" w:rsidP="00C93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EF9">
              <w:rPr>
                <w:rFonts w:ascii="Times New Roman" w:hAnsi="Times New Roman" w:cs="Times New Roman"/>
                <w:sz w:val="24"/>
                <w:szCs w:val="24"/>
              </w:rPr>
              <w:t>Звуконарушения</w:t>
            </w:r>
            <w:proofErr w:type="spellEnd"/>
            <w:r w:rsidRPr="00C93EF9">
              <w:rPr>
                <w:rFonts w:ascii="Times New Roman" w:hAnsi="Times New Roman" w:cs="Times New Roman"/>
                <w:sz w:val="24"/>
                <w:szCs w:val="24"/>
              </w:rPr>
              <w:t xml:space="preserve"> нестабильны.</w:t>
            </w:r>
          </w:p>
          <w:p w14:paraId="78044295" w14:textId="5211A712" w:rsidR="00C93EF9" w:rsidRPr="00C93EF9" w:rsidRDefault="00C93EF9" w:rsidP="00C93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C894A03" w14:textId="77777777" w:rsidR="00C93EF9" w:rsidRPr="00C93EF9" w:rsidRDefault="00C93EF9" w:rsidP="00C93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F9">
              <w:rPr>
                <w:rFonts w:ascii="Times New Roman" w:hAnsi="Times New Roman" w:cs="Times New Roman"/>
                <w:sz w:val="24"/>
                <w:szCs w:val="24"/>
              </w:rPr>
              <w:t>Частичный паралич мышц артикуляционного аппарата, последовательность движений при постановке артикуляционных поз нарушена.</w:t>
            </w:r>
          </w:p>
          <w:p w14:paraId="5333E7BB" w14:textId="78BFAE29" w:rsidR="00C93EF9" w:rsidRPr="00C93EF9" w:rsidRDefault="00C93EF9" w:rsidP="00C93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EF9" w:rsidRPr="00C93EF9" w14:paraId="7A1FFDBE" w14:textId="77777777" w:rsidTr="00C93EF9">
        <w:tc>
          <w:tcPr>
            <w:tcW w:w="2833" w:type="dxa"/>
          </w:tcPr>
          <w:p w14:paraId="06F6104A" w14:textId="77777777" w:rsidR="00C93EF9" w:rsidRPr="00C93EF9" w:rsidRDefault="00C93EF9" w:rsidP="00C93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EF9">
              <w:rPr>
                <w:rFonts w:ascii="Times New Roman" w:hAnsi="Times New Roman" w:cs="Times New Roman"/>
                <w:b/>
                <w:sz w:val="24"/>
                <w:szCs w:val="24"/>
              </w:rPr>
              <w:t>Специфика нарушений звукопроизношения</w:t>
            </w:r>
          </w:p>
        </w:tc>
        <w:tc>
          <w:tcPr>
            <w:tcW w:w="4964" w:type="dxa"/>
          </w:tcPr>
          <w:p w14:paraId="28DB9471" w14:textId="77777777" w:rsidR="00C93EF9" w:rsidRPr="00C93EF9" w:rsidRDefault="00C93EF9" w:rsidP="00C93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F9">
              <w:rPr>
                <w:rFonts w:ascii="Times New Roman" w:hAnsi="Times New Roman" w:cs="Times New Roman"/>
                <w:sz w:val="24"/>
                <w:szCs w:val="24"/>
              </w:rPr>
              <w:t>Существенные трудности в овладении произношением сложных переднеязычных звуков.</w:t>
            </w:r>
          </w:p>
        </w:tc>
        <w:tc>
          <w:tcPr>
            <w:tcW w:w="5954" w:type="dxa"/>
          </w:tcPr>
          <w:p w14:paraId="70FEDC0A" w14:textId="77777777" w:rsidR="00C93EF9" w:rsidRPr="00C93EF9" w:rsidRDefault="00C93EF9" w:rsidP="00C93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F9">
              <w:rPr>
                <w:rFonts w:ascii="Times New Roman" w:hAnsi="Times New Roman" w:cs="Times New Roman"/>
                <w:sz w:val="24"/>
                <w:szCs w:val="24"/>
              </w:rPr>
              <w:t>Страдает произношение согласных звуков.</w:t>
            </w:r>
          </w:p>
          <w:p w14:paraId="0ADA7750" w14:textId="780849A9" w:rsidR="00C93EF9" w:rsidRPr="00C93EF9" w:rsidRDefault="00C93EF9" w:rsidP="00C93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805118" w14:textId="77777777" w:rsidR="00230911" w:rsidRDefault="00230911"/>
    <w:sectPr w:rsidR="00230911" w:rsidSect="00C230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A36D9" w14:textId="77777777" w:rsidR="00D83889" w:rsidRDefault="00D83889" w:rsidP="00C93EF9">
      <w:pPr>
        <w:spacing w:after="0" w:line="240" w:lineRule="auto"/>
      </w:pPr>
      <w:r>
        <w:separator/>
      </w:r>
    </w:p>
  </w:endnote>
  <w:endnote w:type="continuationSeparator" w:id="0">
    <w:p w14:paraId="7334DCB6" w14:textId="77777777" w:rsidR="00D83889" w:rsidRDefault="00D83889" w:rsidP="00C93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FA1FA" w14:textId="77777777" w:rsidR="00D83889" w:rsidRDefault="00D83889" w:rsidP="00C93EF9">
      <w:pPr>
        <w:spacing w:after="0" w:line="240" w:lineRule="auto"/>
      </w:pPr>
      <w:r>
        <w:separator/>
      </w:r>
    </w:p>
  </w:footnote>
  <w:footnote w:type="continuationSeparator" w:id="0">
    <w:p w14:paraId="3D8B1326" w14:textId="77777777" w:rsidR="00D83889" w:rsidRDefault="00D83889" w:rsidP="00C93E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F1E"/>
    <w:rsid w:val="00030F1E"/>
    <w:rsid w:val="000A1206"/>
    <w:rsid w:val="00230911"/>
    <w:rsid w:val="006E4CFA"/>
    <w:rsid w:val="007C44BF"/>
    <w:rsid w:val="009477A9"/>
    <w:rsid w:val="00C23063"/>
    <w:rsid w:val="00C93EF9"/>
    <w:rsid w:val="00CF5DDD"/>
    <w:rsid w:val="00D836D8"/>
    <w:rsid w:val="00D83889"/>
    <w:rsid w:val="00E6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E16F3"/>
  <w15:chartTrackingRefBased/>
  <w15:docId w15:val="{56B3B9C4-E80B-4290-A84C-65E8D1ED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0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93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93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3EF9"/>
  </w:style>
  <w:style w:type="paragraph" w:styleId="a7">
    <w:name w:val="footer"/>
    <w:basedOn w:val="a"/>
    <w:link w:val="a8"/>
    <w:uiPriority w:val="99"/>
    <w:unhideWhenUsed/>
    <w:rsid w:val="00C93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3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Анастасия Васильева</cp:lastModifiedBy>
  <cp:revision>5</cp:revision>
  <dcterms:created xsi:type="dcterms:W3CDTF">2021-10-08T13:51:00Z</dcterms:created>
  <dcterms:modified xsi:type="dcterms:W3CDTF">2025-10-19T12:39:00Z</dcterms:modified>
</cp:coreProperties>
</file>