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var(--nkmQOe)" w:eastAsia="Times New Roman" w:hAnsi="var(--nkmQOe)" w:cs="Times New Roman"/>
          <w:b/>
          <w:bCs/>
          <w:color w:val="0000FF"/>
          <w:sz w:val="24"/>
          <w:szCs w:val="24"/>
          <w:u w:val="single"/>
          <w:lang w:val="en-US" w:eastAsia="ru-RU"/>
        </w:rPr>
      </w:pP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fldChar w:fldCharType="begin"/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instrText xml:space="preserve"> HYPERLINK "https://www.google.com/search?q=Infinitive+%28to%29+vs+-ing+%28%D0%93%D0%B5%D1%80%D1%83%D0%BD%D0%B4%D0%B8%D0%B9%29&amp;sca_esv=38c74ef179c9a07c&amp;rlz=1C1GCEU_ruRU992RU992&amp;biw=1024&amp;bih=600&amp;ei=4t-3abyNJJvEwPAPqobviQE&amp;oq=ing+infinitive+to+%D0%BA%D0%BE%D0%BD%D1%81%D0%BF%D0%B5%D0%BA%D1%82+%D0%BF%D1%80%D0%B0%D0%B2&amp;gs_lp=Egxnd3Mtd2l6LXNlcnAiK2luZyBpbmZpbml0aXZlIHRvINC60L7QvdGB0L_QtdC60YIg0L_RgNCw0LIqAggAMgUQIRigATIFECEYoAFIuS9QsQdYsyJwAngAkAEAmAF3oAHqBqoBAzkuMbgBAcgBAPgBAZgCDKAC2gjCAgsQABiABBiwAxiiBMICCBAAGLADGO8FwgIEECEYFcICCRAhGKABGAoYKsICBxAhGKABGArCAgUQIRifBZgDAIgGAZAGBJIHAzMuOaAHyEeyBwMxLjm4B7oIwgcGMi0xLjExyAeeAYAIAA&amp;sclient=gws-wiz-serp&amp;ved=2ahUKEwjfg9mxn6STAxWEIhAIHVGMA14QgK4QegQIARAB" </w:instrTex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fldChar w:fldCharType="separate"/>
      </w: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 xml:space="preserve">Infinitive (to) </w:t>
      </w:r>
      <w:proofErr w:type="spellStart"/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>vs</w:t>
      </w:r>
      <w:proofErr w:type="spellEnd"/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 xml:space="preserve"> -</w:t>
      </w:r>
      <w:proofErr w:type="spellStart"/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>ing</w:t>
      </w:r>
      <w:proofErr w:type="spellEnd"/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 xml:space="preserve"> (</w:t>
      </w:r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eastAsia="ru-RU"/>
        </w:rPr>
        <w:t>Герундий</w:t>
      </w:r>
      <w:r w:rsidRPr="00DE075A">
        <w:rPr>
          <w:rFonts w:ascii="var(--nkmQOe)" w:eastAsia="Times New Roman" w:hAnsi="var(--nkmQOe)" w:cs="Arial"/>
          <w:b/>
          <w:bCs/>
          <w:color w:val="0000FF"/>
          <w:sz w:val="24"/>
          <w:szCs w:val="24"/>
          <w:u w:val="single"/>
          <w:lang w:val="en-US" w:eastAsia="ru-RU"/>
        </w:rPr>
        <w:t>)</w:t>
      </w:r>
    </w:p>
    <w:p w:rsidR="00DE075A" w:rsidRDefault="00DE075A" w:rsidP="00DE075A">
      <w:pPr>
        <w:shd w:val="clear" w:color="auto" w:fill="FFFFFF"/>
        <w:spacing w:after="0" w:line="360" w:lineRule="atLeast"/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</w:pP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fldChar w:fldCharType="end"/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— это выбор между начальной формой глагола (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to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do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) и формой с -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ing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 (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doing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). 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To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 обычно выражает цель, будущее или намерение (I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want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to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go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), а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-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ing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 — процесс, привычку или общее действие (I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like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dancing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). Ключевое правило: выбор зависит от предыдущего глагола. </w:t>
      </w: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</w:pPr>
      <w:r w:rsidRPr="00DE075A"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  <w:t xml:space="preserve">1. 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Инфинитив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  <w:t xml:space="preserve"> 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с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  <w:t xml:space="preserve"> 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частицей</w:t>
      </w:r>
      <w:r w:rsidRPr="00DE075A"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  <w:t xml:space="preserve"> "to" (To-Infinitive)</w:t>
      </w: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</w:pP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Используется, когда действие ориентировано на будущее или выражает намерение:</w:t>
      </w:r>
    </w:p>
    <w:p w:rsidR="00DE075A" w:rsidRPr="00DE075A" w:rsidRDefault="00DE075A" w:rsidP="00DE075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proofErr w:type="gramStart"/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большинства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глаголов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b/>
          <w:i/>
          <w:iCs/>
          <w:color w:val="FF0000"/>
          <w:sz w:val="24"/>
          <w:szCs w:val="24"/>
          <w:lang w:val="en-US" w:eastAsia="ru-RU"/>
        </w:rPr>
        <w:t>agree, decide, hope, manage, promise, want, wish, refuse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 hope to pass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),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а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также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конструкций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would like/love/prefer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.</w:t>
      </w:r>
    </w:p>
    <w:p w:rsidR="00DE075A" w:rsidRPr="00DE075A" w:rsidRDefault="00DE075A" w:rsidP="00DE075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Для выражения цели: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 </w:t>
      </w:r>
      <w:proofErr w:type="gram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 xml:space="preserve">Отвечает на вопрос "зачем?"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 called to say sorry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</w:t>
      </w:r>
    </w:p>
    <w:p w:rsidR="00DE075A" w:rsidRPr="00DE075A" w:rsidRDefault="00DE075A" w:rsidP="00DE075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прилагательных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proofErr w:type="gram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Особенно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с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конструкцией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it + be + adjective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It is nice to meet you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,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 am glad to help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</w:t>
      </w:r>
    </w:p>
    <w:p w:rsidR="00DE075A" w:rsidRPr="00DE075A" w:rsidRDefault="00DE075A" w:rsidP="00DE075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proofErr w:type="gramStart"/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С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вопросительными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словами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what, how, where, when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 don't know what to do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</w:t>
      </w:r>
    </w:p>
    <w:p w:rsidR="00DE075A" w:rsidRPr="00DE075A" w:rsidRDefault="00DE075A" w:rsidP="00DE075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слов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"too" (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слишком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)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и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"enough" (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достаточно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):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She is too young to go there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 </w:t>
      </w:r>
    </w:p>
    <w:p w:rsidR="00DE075A" w:rsidRPr="00DE075A" w:rsidRDefault="00DE075A" w:rsidP="00DE075A">
      <w:pPr>
        <w:pStyle w:val="a7"/>
        <w:numPr>
          <w:ilvl w:val="0"/>
          <w:numId w:val="1"/>
        </w:numPr>
        <w:shd w:val="clear" w:color="auto" w:fill="FFFFFF"/>
        <w:spacing w:before="90" w:after="0" w:line="240" w:lineRule="auto"/>
        <w:textAlignment w:val="baseline"/>
        <w:outlineLvl w:val="2"/>
        <w:rPr>
          <w:rFonts w:ascii="Raleway-Bold" w:eastAsia="Times New Roman" w:hAnsi="Raleway-Bold" w:cs="Times New Roman"/>
          <w:color w:val="000000"/>
          <w:sz w:val="36"/>
          <w:szCs w:val="36"/>
          <w:lang w:eastAsia="ru-RU"/>
        </w:rPr>
      </w:pPr>
      <w:r w:rsidRPr="00DE075A">
        <w:rPr>
          <w:rFonts w:ascii="Raleway-Bold" w:eastAsia="Times New Roman" w:hAnsi="Raleway-Bold" w:cs="Times New Roman"/>
          <w:color w:val="000000"/>
          <w:sz w:val="36"/>
          <w:szCs w:val="36"/>
          <w:lang w:eastAsia="ru-RU"/>
        </w:rPr>
        <w:t>Инфинитив с частицей TO употребляется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543"/>
        <w:gridCol w:w="7281"/>
      </w:tblGrid>
      <w:tr w:rsidR="00DE075A" w:rsidRPr="00DE075A" w:rsidTr="00DE075A">
        <w:tc>
          <w:tcPr>
            <w:tcW w:w="726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43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После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прилагательных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: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val="en-US" w:eastAsia="ru-RU"/>
              </w:rPr>
              <w:t>nice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,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val="en-US" w:eastAsia="ru-RU"/>
              </w:rPr>
              <w:t>good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,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val="en-US" w:eastAsia="ru-RU"/>
              </w:rPr>
              <w:t>sorry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,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val="en-US" w:eastAsia="ru-RU"/>
              </w:rPr>
              <w:t>happy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,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val="en-US" w:eastAsia="ru-RU"/>
              </w:rPr>
              <w:t>glad etc.</w:t>
            </w:r>
          </w:p>
        </w:tc>
        <w:tc>
          <w:tcPr>
            <w:tcW w:w="7281" w:type="dxa"/>
            <w:tcBorders>
              <w:bottom w:val="single" w:sz="6" w:space="0" w:color="E3E3E3"/>
              <w:right w:val="nil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It was difficult to answer her question.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Было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сложно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ответить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на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ее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вопрос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He was glad to see me.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Он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был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рад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меня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видеть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</w:p>
        </w:tc>
      </w:tr>
      <w:tr w:rsidR="00DE075A" w:rsidRPr="00DE075A" w:rsidTr="00DE075A">
        <w:tc>
          <w:tcPr>
            <w:tcW w:w="726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3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Для указания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 цели действия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 (когда отвечают на вопросы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«Зачем?</w:t>
            </w:r>
            <w:proofErr w:type="gram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Для чего?»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7281" w:type="dxa"/>
            <w:tcBorders>
              <w:bottom w:val="single" w:sz="6" w:space="0" w:color="E3E3E3"/>
              <w:right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</w:pP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He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called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me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to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tell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the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news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Он позвонил мне, чтобы рассказать новости.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We went to the museum to see an exhibition.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Мы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ходили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в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музей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посмотреть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выставку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</w:p>
        </w:tc>
      </w:tr>
      <w:tr w:rsidR="00DE075A" w:rsidRPr="00DE075A" w:rsidTr="00DE075A">
        <w:tc>
          <w:tcPr>
            <w:tcW w:w="726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43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После глаголов  и  выражений: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agree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соглашаться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promise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обещать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wait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ждать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want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хотеть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wish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желать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hope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надеяться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know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how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знать как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learn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учиться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prepare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готовиться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ask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просить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choose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выбирать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decide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решать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fail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не удаваться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  <w:t>Полный список глаголов вы найдете </w:t>
            </w:r>
            <w:hyperlink r:id="rId6" w:history="1">
              <w:r w:rsidRPr="00DE075A">
                <w:rPr>
                  <w:rFonts w:ascii="Arial" w:eastAsia="Times New Roman" w:hAnsi="Arial" w:cs="Arial"/>
                  <w:color w:val="2E7AB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здесь.</w:t>
              </w:r>
            </w:hyperlink>
          </w:p>
        </w:tc>
        <w:tc>
          <w:tcPr>
            <w:tcW w:w="7281" w:type="dxa"/>
            <w:tcBorders>
              <w:bottom w:val="single" w:sz="6" w:space="0" w:color="E3E3E3"/>
              <w:right w:val="nil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lastRenderedPageBreak/>
              <w:t xml:space="preserve">He agreed to go with us.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Он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согласился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пойти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нами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I promise to help you.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обещаю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помочь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тебе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They wanted to discuss the contract.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Они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хотели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обсудить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договор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I hope to see you soon.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Надеюсь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,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скоро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увижу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тебя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We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failed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to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come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on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time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Нам не удалось прийти вовремя.</w:t>
            </w:r>
          </w:p>
        </w:tc>
      </w:tr>
      <w:tr w:rsidR="00DE075A" w:rsidRPr="00DE075A" w:rsidTr="00DE075A">
        <w:tc>
          <w:tcPr>
            <w:tcW w:w="726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После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выражений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ru-RU"/>
              </w:rPr>
              <w:t xml:space="preserve"> c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val="en-US" w:eastAsia="ru-RU"/>
              </w:rPr>
              <w:t>would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ru-RU"/>
              </w:rPr>
              <w:t>: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ru-RU"/>
              </w:rPr>
              <w:br/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val="en-US" w:eastAsia="ru-RU"/>
              </w:rPr>
              <w:t>would like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val="en-US" w:eastAsia="ru-RU"/>
              </w:rPr>
              <w:br/>
              <w:t>would love etc.</w:t>
            </w:r>
          </w:p>
        </w:tc>
        <w:tc>
          <w:tcPr>
            <w:tcW w:w="7281" w:type="dxa"/>
            <w:tcBorders>
              <w:bottom w:val="single" w:sz="6" w:space="0" w:color="E3E3E3"/>
              <w:right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I would like to have some tea.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бы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хотел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выпить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чаю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Would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you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like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to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go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out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? – Ты бы хотела пойти погулять?</w:t>
            </w:r>
          </w:p>
        </w:tc>
      </w:tr>
    </w:tbl>
    <w:p w:rsidR="00DE075A" w:rsidRPr="00DE075A" w:rsidRDefault="00DE075A" w:rsidP="00DE075A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</w:t>
      </w:r>
    </w:p>
    <w:p w:rsidR="00DE075A" w:rsidRPr="00DE075A" w:rsidRDefault="00DE075A" w:rsidP="00DE075A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Если подряд стоят два </w:t>
      </w:r>
      <w:proofErr w:type="gramStart"/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инфинитива</w:t>
      </w:r>
      <w:proofErr w:type="gramEnd"/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и они соединяются союзом </w:t>
      </w:r>
      <w:proofErr w:type="spellStart"/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and</w:t>
      </w:r>
      <w:proofErr w:type="spellEnd"/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, то </w:t>
      </w:r>
      <w:r w:rsidRPr="00DE075A">
        <w:rPr>
          <w:rFonts w:ascii="Raleway-Bold" w:eastAsia="Times New Roman" w:hAnsi="Raleway-Bold" w:cs="Arial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>второй</w:t>
      </w:r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инфинитив употребляется </w:t>
      </w:r>
      <w:r w:rsidRPr="00DE075A">
        <w:rPr>
          <w:rFonts w:ascii="Raleway-Bold" w:eastAsia="Times New Roman" w:hAnsi="Raleway-Bold" w:cs="Arial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 xml:space="preserve">без частицы </w:t>
      </w:r>
      <w:proofErr w:type="spellStart"/>
      <w:r w:rsidRPr="00DE075A">
        <w:rPr>
          <w:rFonts w:ascii="Raleway-Bold" w:eastAsia="Times New Roman" w:hAnsi="Raleway-Bold" w:cs="Arial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DE075A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:</w:t>
      </w:r>
    </w:p>
    <w:p w:rsidR="00DE075A" w:rsidRPr="00DE075A" w:rsidRDefault="00DE075A" w:rsidP="00DE075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33"/>
          <w:szCs w:val="33"/>
          <w:lang w:eastAsia="ru-RU"/>
        </w:rPr>
      </w:pPr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2. Герундий с окончанием "-</w:t>
      </w:r>
      <w:proofErr w:type="spellStart"/>
      <w:r w:rsidRPr="00DE075A">
        <w:rPr>
          <w:rFonts w:ascii="Arial" w:eastAsia="Times New Roman" w:hAnsi="Arial" w:cs="Arial"/>
          <w:color w:val="1F1F1F"/>
          <w:sz w:val="33"/>
          <w:szCs w:val="33"/>
          <w:lang w:val="en-US" w:eastAsia="ru-RU"/>
        </w:rPr>
        <w:t>ing</w:t>
      </w:r>
      <w:proofErr w:type="spellEnd"/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" (</w:t>
      </w:r>
      <w:hyperlink r:id="rId7" w:history="1">
        <w:r w:rsidRPr="00DE075A">
          <w:rPr>
            <w:rFonts w:ascii="Arial" w:eastAsia="Times New Roman" w:hAnsi="Arial" w:cs="Arial"/>
            <w:color w:val="0000FF"/>
            <w:sz w:val="33"/>
            <w:szCs w:val="33"/>
            <w:u w:val="single"/>
            <w:lang w:eastAsia="ru-RU"/>
          </w:rPr>
          <w:t>-</w:t>
        </w:r>
        <w:proofErr w:type="spellStart"/>
        <w:r w:rsidRPr="00DE075A">
          <w:rPr>
            <w:rFonts w:ascii="Arial" w:eastAsia="Times New Roman" w:hAnsi="Arial" w:cs="Arial"/>
            <w:color w:val="0000FF"/>
            <w:sz w:val="33"/>
            <w:szCs w:val="33"/>
            <w:u w:val="single"/>
            <w:lang w:val="en-US" w:eastAsia="ru-RU"/>
          </w:rPr>
          <w:t>ing</w:t>
        </w:r>
        <w:proofErr w:type="spellEnd"/>
        <w:r w:rsidRPr="00DE075A">
          <w:rPr>
            <w:rFonts w:ascii="Arial" w:eastAsia="Times New Roman" w:hAnsi="Arial" w:cs="Arial"/>
            <w:color w:val="0000FF"/>
            <w:sz w:val="33"/>
            <w:szCs w:val="33"/>
            <w:u w:val="single"/>
            <w:lang w:eastAsia="ru-RU"/>
          </w:rPr>
          <w:t xml:space="preserve"> </w:t>
        </w:r>
        <w:r w:rsidRPr="00DE075A">
          <w:rPr>
            <w:rFonts w:ascii="Arial" w:eastAsia="Times New Roman" w:hAnsi="Arial" w:cs="Arial"/>
            <w:color w:val="0000FF"/>
            <w:sz w:val="33"/>
            <w:szCs w:val="33"/>
            <w:u w:val="single"/>
            <w:lang w:val="en-US" w:eastAsia="ru-RU"/>
          </w:rPr>
          <w:t>Form</w:t>
        </w:r>
      </w:hyperlink>
      <w:r w:rsidRPr="00DE075A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)</w:t>
      </w:r>
    </w:p>
    <w:p w:rsidR="00DE075A" w:rsidRPr="00DE075A" w:rsidRDefault="00DE075A" w:rsidP="00DE075A">
      <w:pPr>
        <w:shd w:val="clear" w:color="auto" w:fill="FFFFFF"/>
        <w:spacing w:after="0" w:line="360" w:lineRule="atLeast"/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</w:pP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Используется, когда действие — это процесс, привычка или факт:</w:t>
      </w:r>
    </w:p>
    <w:p w:rsidR="00DE075A" w:rsidRPr="00DE075A" w:rsidRDefault="00DE075A" w:rsidP="00DE075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proofErr w:type="gramStart"/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глаголов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,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обозначающих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отношение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/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процесс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like, love, hate, enjoy, dislike, finish, stop, avoid, imagine, consider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 enjoy swimming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</w:t>
      </w:r>
    </w:p>
    <w:p w:rsidR="00DE075A" w:rsidRPr="00DE075A" w:rsidRDefault="00DE075A" w:rsidP="00DE075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</w:pP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предлогов</w:t>
      </w:r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val="en-US" w:eastAsia="ru-RU"/>
        </w:rPr>
        <w:t>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proofErr w:type="gram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Любой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глагол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после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предлогов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(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in, on, at, for, about, without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и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др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.) 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принимает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-</w:t>
      </w:r>
      <w:proofErr w:type="spellStart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ing</w:t>
      </w:r>
      <w:proofErr w:type="spell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 xml:space="preserve"> (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например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 </w:t>
      </w:r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val="en-US" w:eastAsia="ru-RU"/>
        </w:rPr>
        <w:t>He is good at painting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val="en-US" w:eastAsia="ru-RU"/>
        </w:rPr>
        <w:t>).</w:t>
      </w:r>
    </w:p>
    <w:p w:rsidR="00090892" w:rsidRPr="00DE075A" w:rsidRDefault="00DE075A" w:rsidP="00DE075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075A">
        <w:rPr>
          <w:rFonts w:ascii="var(--nkmQOe)" w:eastAsia="Times New Roman" w:hAnsi="var(--nkmQOe)" w:cs="Arial"/>
          <w:b/>
          <w:bCs/>
          <w:color w:val="1F1F1F"/>
          <w:sz w:val="24"/>
          <w:szCs w:val="24"/>
          <w:lang w:eastAsia="ru-RU"/>
        </w:rPr>
        <w:t>В роли подлежащего:</w:t>
      </w:r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 (например:</w:t>
      </w:r>
      <w:proofErr w:type="gramEnd"/>
      <w:r w:rsidRPr="00DE075A"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 </w:t>
      </w:r>
      <w:proofErr w:type="spellStart"/>
      <w:proofErr w:type="gram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Smoking</w:t>
      </w:r>
      <w:proofErr w:type="spellEnd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is</w:t>
      </w:r>
      <w:proofErr w:type="spellEnd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bad</w:t>
      </w:r>
      <w:proofErr w:type="spellEnd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for</w:t>
      </w:r>
      <w:proofErr w:type="spellEnd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Pr="00DE075A">
        <w:rPr>
          <w:rFonts w:ascii="var(--nkmQOe)" w:eastAsia="Times New Roman" w:hAnsi="var(--nkmQOe)" w:cs="Arial"/>
          <w:i/>
          <w:iCs/>
          <w:color w:val="1F1F1F"/>
          <w:sz w:val="24"/>
          <w:szCs w:val="24"/>
          <w:lang w:eastAsia="ru-RU"/>
        </w:rPr>
        <w:t>health</w:t>
      </w:r>
      <w:proofErr w:type="spellEnd"/>
      <w:r>
        <w:rPr>
          <w:rFonts w:ascii="var(--nkmQOe)" w:eastAsia="Times New Roman" w:hAnsi="var(--nkmQOe)" w:cs="Arial"/>
          <w:color w:val="1F1F1F"/>
          <w:sz w:val="24"/>
          <w:szCs w:val="24"/>
          <w:lang w:eastAsia="ru-RU"/>
        </w:rPr>
        <w:t>)</w:t>
      </w:r>
      <w:proofErr w:type="gramEnd"/>
    </w:p>
    <w:p w:rsidR="00DE075A" w:rsidRPr="00DE075A" w:rsidRDefault="00DE075A" w:rsidP="00DE075A">
      <w:pPr>
        <w:pStyle w:val="a7"/>
        <w:numPr>
          <w:ilvl w:val="0"/>
          <w:numId w:val="2"/>
        </w:numPr>
        <w:shd w:val="clear" w:color="auto" w:fill="FFFFFF"/>
        <w:spacing w:before="90" w:after="0" w:line="240" w:lineRule="auto"/>
        <w:textAlignment w:val="baseline"/>
        <w:outlineLvl w:val="2"/>
        <w:rPr>
          <w:rFonts w:ascii="Raleway-Bold" w:eastAsia="Times New Roman" w:hAnsi="Raleway-Bold" w:cs="Times New Roman"/>
          <w:color w:val="000000"/>
          <w:sz w:val="36"/>
          <w:szCs w:val="36"/>
          <w:lang w:eastAsia="ru-RU"/>
        </w:rPr>
      </w:pPr>
      <w:r w:rsidRPr="00DE075A">
        <w:rPr>
          <w:rFonts w:ascii="Raleway-Bold" w:eastAsia="Times New Roman" w:hAnsi="Raleway-Bold" w:cs="Times New Roman"/>
          <w:color w:val="000000"/>
          <w:sz w:val="36"/>
          <w:szCs w:val="36"/>
          <w:lang w:eastAsia="ru-RU"/>
        </w:rPr>
        <w:t>Употребление герундия</w:t>
      </w:r>
    </w:p>
    <w:tbl>
      <w:tblPr>
        <w:tblW w:w="111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791"/>
        <w:gridCol w:w="6714"/>
      </w:tblGrid>
      <w:tr w:rsidR="00DE075A" w:rsidRPr="00DE075A" w:rsidTr="00DE075A">
        <w:tc>
          <w:tcPr>
            <w:tcW w:w="620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91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Как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подлежащее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 и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дополнение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 в предложении (когда отвечают на вопрос «Что?»)  </w:t>
            </w:r>
          </w:p>
        </w:tc>
        <w:tc>
          <w:tcPr>
            <w:tcW w:w="6714" w:type="dxa"/>
            <w:tcBorders>
              <w:bottom w:val="single" w:sz="6" w:space="0" w:color="E3E3E3"/>
              <w:right w:val="nil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Reading is my hobby.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Чтение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мое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хобби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My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favourite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activity is painting.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Мое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любимое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занятие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это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рисование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</w:p>
        </w:tc>
      </w:tr>
      <w:tr w:rsidR="00DE075A" w:rsidRPr="00DE075A" w:rsidTr="00DE075A">
        <w:tc>
          <w:tcPr>
            <w:tcW w:w="620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91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 глаголами и фразами, которые обозначают предпочтение: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like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нравиться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love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любить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hate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ненавидеть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dislike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не любить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enjoy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наслаждаться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good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at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</w:t>
            </w:r>
            <w:proofErr w:type="gram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хорош</w:t>
            </w:r>
            <w:proofErr w:type="gram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в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fond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of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увлекаться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keen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on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интересоваться</w:t>
            </w:r>
          </w:p>
        </w:tc>
        <w:tc>
          <w:tcPr>
            <w:tcW w:w="6714" w:type="dxa"/>
            <w:tcBorders>
              <w:bottom w:val="single" w:sz="6" w:space="0" w:color="E3E3E3"/>
              <w:right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lastRenderedPageBreak/>
              <w:t xml:space="preserve">I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hate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waiting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Я ненавижу ждать.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He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is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fond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of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collecting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stamps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Он увлекается коллекционированием марок.</w:t>
            </w:r>
          </w:p>
        </w:tc>
      </w:tr>
      <w:tr w:rsidR="00DE075A" w:rsidRPr="00DE075A" w:rsidTr="00DE075A">
        <w:tc>
          <w:tcPr>
            <w:tcW w:w="620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791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После предлогов и фразовых глаголов: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look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forward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to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ожидать с нетерпением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carry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on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продолжать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take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up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начинать делать</w:t>
            </w:r>
          </w:p>
        </w:tc>
        <w:tc>
          <w:tcPr>
            <w:tcW w:w="6714" w:type="dxa"/>
            <w:tcBorders>
              <w:bottom w:val="single" w:sz="6" w:space="0" w:color="E3E3E3"/>
              <w:right w:val="nil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I am looking forward to going on holiday.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Я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нетерпением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жду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,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когда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отправлюсь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на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каникулы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br/>
              <w:t xml:space="preserve">The teacher told us to carry on reading. –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Учитель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сказал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нам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продолжить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чтение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val="en-US" w:eastAsia="ru-RU"/>
              </w:rPr>
              <w:t>.</w:t>
            </w:r>
          </w:p>
        </w:tc>
      </w:tr>
      <w:tr w:rsidR="00DE075A" w:rsidRPr="00DE075A" w:rsidTr="00DE075A">
        <w:tc>
          <w:tcPr>
            <w:tcW w:w="620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91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После определенных глаголов: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avoid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избегать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mind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возражать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suggest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 xml:space="preserve"> – предлагать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discuss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 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обсуждать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keep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продолжать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miss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скучать по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practise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практиковаться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quit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прекращать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recommend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E075A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рекомендовать</w:t>
            </w:r>
            <w:r w:rsidRPr="00DE075A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6714" w:type="dxa"/>
            <w:tcBorders>
              <w:bottom w:val="single" w:sz="6" w:space="0" w:color="E3E3E3"/>
              <w:right w:val="nil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We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kept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running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Мы продолжили бежать.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Mary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suggested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ordering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pizza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Мэри предложила заказать пиццу.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  <w:t xml:space="preserve">I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recommend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you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trying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this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sort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of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coffee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Я рекомендую тебе попробовать этот сорт кофе.</w:t>
            </w:r>
          </w:p>
        </w:tc>
      </w:tr>
      <w:tr w:rsidR="00DE075A" w:rsidRPr="00DE075A" w:rsidTr="00DE075A">
        <w:tc>
          <w:tcPr>
            <w:tcW w:w="620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91" w:type="dxa"/>
            <w:tcBorders>
              <w:bottom w:val="single" w:sz="6" w:space="0" w:color="E3E3E3"/>
              <w:right w:val="single" w:sz="6" w:space="0" w:color="E3E3E3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После фраз: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can’t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help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не могу удержаться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don’t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mind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не против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It's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no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point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нет никакого смысла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It’s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no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good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– это не годится</w:t>
            </w:r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It's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worth</w:t>
            </w:r>
            <w:proofErr w:type="spellEnd"/>
            <w:r w:rsidRPr="00DE075A">
              <w:rPr>
                <w:rFonts w:ascii="Raleway-Bold" w:eastAsia="Times New Roman" w:hAnsi="Raleway-Bold" w:cs="Arial"/>
                <w:b/>
                <w:bCs/>
                <w:color w:val="2D2D2D"/>
                <w:sz w:val="21"/>
                <w:szCs w:val="21"/>
                <w:bdr w:val="none" w:sz="0" w:space="0" w:color="auto" w:frame="1"/>
                <w:lang w:eastAsia="ru-RU"/>
              </w:rPr>
              <w:t>  – стоит того</w:t>
            </w:r>
          </w:p>
        </w:tc>
        <w:tc>
          <w:tcPr>
            <w:tcW w:w="6714" w:type="dxa"/>
            <w:tcBorders>
              <w:bottom w:val="single" w:sz="6" w:space="0" w:color="E3E3E3"/>
              <w:right w:val="nil"/>
            </w:tcBorders>
            <w:shd w:val="clear" w:color="auto" w:fill="F8F8F8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DE075A" w:rsidRPr="00DE075A" w:rsidRDefault="00DE075A" w:rsidP="00DE075A">
            <w:pPr>
              <w:spacing w:after="0" w:line="360" w:lineRule="atLeast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couldn’t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help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laughing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Я не смог сдержать смех.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It’s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pointless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persuading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them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Бессмысленно убеждать их.</w:t>
            </w:r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It’s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no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good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doing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it</w:t>
            </w:r>
            <w:proofErr w:type="spellEnd"/>
            <w:r w:rsidRPr="00DE075A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. – Так делать не годит</w:t>
            </w:r>
          </w:p>
        </w:tc>
      </w:tr>
    </w:tbl>
    <w:p w:rsidR="00DE075A" w:rsidRPr="00DE075A" w:rsidRDefault="00DE075A" w:rsidP="00DE075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075A" w:rsidRPr="00DE075A" w:rsidSect="00DE07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nkmQO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leway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0CC"/>
    <w:multiLevelType w:val="multilevel"/>
    <w:tmpl w:val="77E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D6DDE"/>
    <w:multiLevelType w:val="multilevel"/>
    <w:tmpl w:val="5B8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D793B"/>
    <w:multiLevelType w:val="multilevel"/>
    <w:tmpl w:val="282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B2CE1"/>
    <w:multiLevelType w:val="multilevel"/>
    <w:tmpl w:val="DE06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5A"/>
    <w:rsid w:val="00090892"/>
    <w:rsid w:val="00D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0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E075A"/>
    <w:rPr>
      <w:b/>
      <w:bCs/>
    </w:rPr>
  </w:style>
  <w:style w:type="paragraph" w:styleId="a4">
    <w:name w:val="Normal (Web)"/>
    <w:basedOn w:val="a"/>
    <w:uiPriority w:val="99"/>
    <w:unhideWhenUsed/>
    <w:rsid w:val="00DE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075A"/>
    <w:rPr>
      <w:i/>
      <w:iCs/>
    </w:rPr>
  </w:style>
  <w:style w:type="character" w:styleId="a6">
    <w:name w:val="Hyperlink"/>
    <w:basedOn w:val="a0"/>
    <w:uiPriority w:val="99"/>
    <w:semiHidden/>
    <w:unhideWhenUsed/>
    <w:rsid w:val="00DE07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E0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0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E075A"/>
    <w:rPr>
      <w:b/>
      <w:bCs/>
    </w:rPr>
  </w:style>
  <w:style w:type="paragraph" w:styleId="a4">
    <w:name w:val="Normal (Web)"/>
    <w:basedOn w:val="a"/>
    <w:uiPriority w:val="99"/>
    <w:unhideWhenUsed/>
    <w:rsid w:val="00DE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075A"/>
    <w:rPr>
      <w:i/>
      <w:iCs/>
    </w:rPr>
  </w:style>
  <w:style w:type="character" w:styleId="a6">
    <w:name w:val="Hyperlink"/>
    <w:basedOn w:val="a0"/>
    <w:uiPriority w:val="99"/>
    <w:semiHidden/>
    <w:unhideWhenUsed/>
    <w:rsid w:val="00DE07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E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44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48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8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09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4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49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947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4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1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18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6537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8514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122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7928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909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374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78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7474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6406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024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3554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-ing+Form&amp;sca_esv=38c74ef179c9a07c&amp;rlz=1C1GCEU_ruRU992RU992&amp;biw=1024&amp;bih=600&amp;ei=4t-3abyNJJvEwPAPqobviQE&amp;oq=ing+infinitive+to+%D0%BA%D0%BE%D0%BD%D1%81%D0%BF%D0%B5%D0%BA%D1%82+%D0%BF%D1%80%D0%B0%D0%B2&amp;gs_lp=Egxnd3Mtd2l6LXNlcnAiK2luZyBpbmZpbml0aXZlIHRvINC60L7QvdGB0L_QtdC60YIg0L_RgNCw0LIqAggAMgUQIRigATIFECEYoAFIuS9QsQdYsyJwAngAkAEAmAF3oAHqBqoBAzkuMbgBAcgBAPgBAZgCDKAC2gjCAgsQABiABBiwAxiiBMICCBAAGLADGO8FwgIEECEYFcICCRAhGKABGAoYKsICBxAhGKABGArCAgUQIRifBZgDAIgGAZAGBJIHAzMuOaAHyEeyBwMxLjm4B7oIwgcGMi0xLjExyAeeAYAIAA&amp;sclient=gws-wiz-serp&amp;ved=2ahUKEwjfg9mxn6STAxWEIhAIHVGMA14QgK4QegQIBR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nform.com/article/infinitive-ve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С.М. БАГДАСАРЯН</dc:creator>
  <cp:lastModifiedBy>С.М. БАГДАСАРЯН</cp:lastModifiedBy>
  <cp:revision>1</cp:revision>
  <dcterms:created xsi:type="dcterms:W3CDTF">2026-03-16T10:49:00Z</dcterms:created>
  <dcterms:modified xsi:type="dcterms:W3CDTF">2026-03-16T10:57:00Z</dcterms:modified>
</cp:coreProperties>
</file>