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0"/>
        <w:ind w:hanging="120" w:left="120" w:right="120"/>
        <w:jc w:val="center"/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Статья</w:t>
      </w:r>
    </w:p>
    <w:p w14:paraId="02000000">
      <w:pPr>
        <w:spacing w:after="120" w:before="0"/>
        <w:ind w:hanging="120" w:left="120" w:right="120"/>
        <w:jc w:val="center"/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Адаптация детей раннего возраста к условиям ДОУ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</w:p>
    <w:p w14:paraId="03000000">
      <w:pPr>
        <w:spacing w:after="120" w:before="0"/>
        <w:ind w:hanging="120" w:left="120" w:right="120"/>
        <w:jc w:val="left"/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</w:pPr>
    </w:p>
    <w:p w14:paraId="04000000">
      <w:pPr>
        <w:spacing w:after="120" w:before="0"/>
        <w:ind w:hanging="120" w:left="120" w:right="120"/>
        <w:jc w:val="left"/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Адаптация детей раннего возраста к условиям ДОУ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— процесс, который может быть сложным из-за смены привычной атмосферы, встречи с незнакомыми взрослыми и сверстниками. Цель работы — помочь ребёнку как можно быстрее и безболезненнее освоиться в новой ситуации, почувствовать себя увереннее. Для этого необходимо учитывать факторы, использовать определённые методы, создавать комфортную среду и работать с родителями. </w:t>
      </w:r>
    </w:p>
    <w:p w14:paraId="05000000">
      <w:pPr>
        <w:spacing w:after="120" w:before="0"/>
        <w:ind w:hanging="120" w:left="120" w:right="120"/>
        <w:jc w:val="left"/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32"/>
          <w:highlight w:val="white"/>
        </w:rPr>
        <w:t>Факторы</w:t>
      </w:r>
    </w:p>
    <w:p w14:paraId="06000000">
      <w:pPr>
        <w:spacing w:after="120" w:before="0"/>
        <w:ind w:hanging="120" w:left="120" w:right="12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Некоторые факторы, влияющие на адаптацию:</w:t>
      </w:r>
    </w:p>
    <w:p w14:paraId="07000000">
      <w:pPr>
        <w:numPr>
          <w:ilvl w:val="0"/>
          <w:numId w:val="1"/>
        </w:numPr>
        <w:spacing w:after="120" w:before="12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Состояние здоровья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У здоровых детей адаптация проходит относительно легко, у соматически ослабленных — с осложнениями. </w:t>
      </w:r>
    </w:p>
    <w:p w14:paraId="08000000">
      <w:pPr>
        <w:numPr>
          <w:ilvl w:val="0"/>
          <w:numId w:val="1"/>
        </w:numPr>
        <w:spacing w:after="120" w:before="12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Возраст ребёнка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Например, ребёнок двух лет сильно привязан к матери, ему трудно привыкнуть к новой обстановке, а четырёхлетним детям сложно привыкнуть к ДОУ из-за того, что они привыкли к домашним условиям.</w:t>
      </w:r>
    </w:p>
    <w:p w14:paraId="09000000">
      <w:pPr>
        <w:numPr>
          <w:ilvl w:val="0"/>
          <w:numId w:val="1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Сформированность навыков общения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Если до поступления в ДОУ ребёнок постоянно находился с мамой, то утром, когда его приводят в учреждение, с трудом расстаётся с родными. </w:t>
      </w:r>
    </w:p>
    <w:p w14:paraId="0A000000">
      <w:pPr>
        <w:numPr>
          <w:ilvl w:val="0"/>
          <w:numId w:val="1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Несовпадение режима дома и режима ДОУ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Например, если в семье режим отличается от распорядка дня в детском саду, это может спровоцировать трудности адаптации. </w:t>
      </w:r>
    </w:p>
    <w:p w14:paraId="0B000000">
      <w:pPr>
        <w:numPr>
          <w:ilvl w:val="0"/>
          <w:numId w:val="1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Недостаточно развитые привычки ребёнка к самообслуживанию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Например, если ребёнок ест сам, но делает это слишком медленно, это может привести к негативным эмоциям. </w:t>
      </w:r>
    </w:p>
    <w:p w14:paraId="0C000000">
      <w:pPr>
        <w:spacing w:after="120" w:before="360"/>
        <w:ind w:firstLine="0" w:left="0" w:right="0"/>
        <w:jc w:val="left"/>
        <w:rPr>
          <w:rFonts w:ascii="MS&quot;" w:hAnsi="MS&quot;"/>
          <w:b w:val="1"/>
          <w:i w:val="0"/>
          <w:caps w:val="0"/>
          <w:color w:val="333333"/>
          <w:spacing w:val="0"/>
          <w:sz w:val="32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32"/>
          <w:highlight w:val="white"/>
        </w:rPr>
        <w:t>Методы</w:t>
      </w:r>
    </w:p>
    <w:p w14:paraId="0D000000">
      <w:pPr>
        <w:spacing w:after="120" w:before="0"/>
        <w:ind w:hanging="120" w:left="120" w:right="12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Некоторые методы, способствующие успешной адаптации:</w:t>
      </w:r>
    </w:p>
    <w:p w14:paraId="0E000000">
      <w:pPr>
        <w:numPr>
          <w:ilvl w:val="0"/>
          <w:numId w:val="2"/>
        </w:numPr>
        <w:spacing w:after="120" w:before="12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Создание эмоционально благоприятной атмосферы в группе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Необходимо сформировать у ребёнка положительную установку, желание идти в детский сад. </w:t>
      </w:r>
    </w:p>
    <w:p w14:paraId="0F000000">
      <w:pPr>
        <w:numPr>
          <w:ilvl w:val="0"/>
          <w:numId w:val="2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Использование игровых методов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. Например:</w:t>
      </w:r>
    </w:p>
    <w:p w14:paraId="10000000">
      <w:pPr>
        <w:numPr>
          <w:ilvl w:val="1"/>
          <w:numId w:val="3"/>
        </w:numPr>
        <w:spacing w:after="120" w:before="12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Коллективные и подвижные игры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(«Пузырь», «Ножки», «Зайка») — формируют эмоциональный контакт, доверие детей к воспитателю, развивают координацию движения. </w:t>
      </w:r>
    </w:p>
    <w:p w14:paraId="11000000">
      <w:pPr>
        <w:numPr>
          <w:ilvl w:val="1"/>
          <w:numId w:val="3"/>
        </w:numPr>
        <w:spacing w:after="120" w:before="12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Игровые ситуации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, приближённые к типовым сюжетам из реальной жизни («Мишка заболел», «Кукла хочет спать») — создают доброжелательное отношение с окружающими и сверстниками, учат новым способам взаимодействия друг с другом. </w:t>
      </w:r>
    </w:p>
    <w:p w14:paraId="12000000">
      <w:pPr>
        <w:numPr>
          <w:ilvl w:val="1"/>
          <w:numId w:val="3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Релаксационные игры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— помогают детям справиться с напряжённой и стрессовой ситуацией в период привыкания (приёмы по дыхательной гимнастике, метод песочной терапии). </w:t>
      </w:r>
    </w:p>
    <w:p w14:paraId="13000000">
      <w:pPr>
        <w:numPr>
          <w:ilvl w:val="0"/>
          <w:numId w:val="2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Учёт индивидуальных особенностей ребёнка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во время режимных моментов. Например, если ребёнок привык дома засыпать с любимой игрушкой, то рядом в кровати должна быть эта игрушка. </w:t>
      </w:r>
    </w:p>
    <w:p w14:paraId="14000000">
      <w:pPr>
        <w:numPr>
          <w:ilvl w:val="0"/>
          <w:numId w:val="2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Использование обучающих игр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на развитие тактильно-кинестетической чувствительности и мелкой моторики — эти несложные упражнения стабилизируют эмоциональное состояние. </w:t>
      </w:r>
    </w:p>
    <w:p w14:paraId="15000000">
      <w:pPr>
        <w:spacing w:after="120" w:before="360"/>
        <w:ind w:firstLine="0" w:left="0" w:right="0"/>
        <w:jc w:val="left"/>
        <w:rPr>
          <w:rFonts w:ascii="MS&quot;" w:hAnsi="MS&quot;"/>
          <w:b w:val="1"/>
          <w:i w:val="0"/>
          <w:caps w:val="0"/>
          <w:color w:val="333333"/>
          <w:spacing w:val="0"/>
          <w:sz w:val="32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32"/>
          <w:highlight w:val="white"/>
        </w:rPr>
        <w:t>Среда</w:t>
      </w:r>
    </w:p>
    <w:p w14:paraId="16000000">
      <w:pPr>
        <w:spacing w:after="120" w:before="0"/>
        <w:ind w:hanging="120" w:left="120" w:right="12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Важную роль в облегчении адаптации играет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предметно-развивающая среда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в группе. Некоторые особенности организации: </w:t>
      </w:r>
    </w:p>
    <w:p w14:paraId="17000000">
      <w:pPr>
        <w:numPr>
          <w:ilvl w:val="0"/>
          <w:numId w:val="4"/>
        </w:numPr>
        <w:spacing w:after="120" w:before="12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Разнообразие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игрового и дидактического материала для сенсорного развития, познавательно-исследовательской, изобразительной и музыкальной деятельности, организации двигательной активности. </w:t>
      </w:r>
    </w:p>
    <w:p w14:paraId="18000000">
      <w:pPr>
        <w:numPr>
          <w:ilvl w:val="0"/>
          <w:numId w:val="4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Зонирование групповой комнаты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— расположение зон способствует плавному переходу от одной деятельности к другой (например, зона для игр со строительным материалом соседствует с зоной игр с машинами). </w:t>
      </w:r>
    </w:p>
    <w:p w14:paraId="19000000">
      <w:pPr>
        <w:numPr>
          <w:ilvl w:val="0"/>
          <w:numId w:val="4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Динамичность среды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— время от времени игровые зоны меняют, иногда объединяют, дополняют новым оборудованием, что побуждает малышей к преобразованию и исследованию нового. </w:t>
      </w:r>
    </w:p>
    <w:p w14:paraId="1A000000">
      <w:pPr>
        <w:numPr>
          <w:ilvl w:val="0"/>
          <w:numId w:val="4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Приближённость к домашней обстановке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— например, в группе может быть небольшой «домик», где ребёнок может побыть один, поиграть или отдохнуть.</w:t>
      </w:r>
    </w:p>
    <w:p w14:paraId="1B000000">
      <w:pPr>
        <w:numPr>
          <w:ilvl w:val="0"/>
          <w:numId w:val="4"/>
        </w:numPr>
        <w:spacing w:after="120" w:before="0"/>
        <w:ind w:firstLine="0" w:left="255" w:right="0"/>
        <w:jc w:val="left"/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</w:pPr>
      <w:r>
        <w:rPr>
          <w:rFonts w:ascii="MS&quot;" w:hAnsi="MS&quot;"/>
          <w:b w:val="1"/>
          <w:i w:val="0"/>
          <w:caps w:val="0"/>
          <w:color w:val="333333"/>
          <w:spacing w:val="0"/>
          <w:sz w:val="21"/>
          <w:highlight w:val="white"/>
        </w:rPr>
        <w:t>Стимуляция сенсорного развития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 </w:t>
      </w:r>
      <w:r>
        <w:rPr>
          <w:rFonts w:ascii="MS&quot;" w:hAnsi="MS&quot;"/>
          <w:b w:val="0"/>
          <w:i w:val="0"/>
          <w:caps w:val="0"/>
          <w:color w:val="333333"/>
          <w:spacing w:val="0"/>
          <w:sz w:val="21"/>
          <w:highlight w:val="white"/>
        </w:rPr>
        <w:t>— предметы чистых цветов чёткой и несложной формы, разных размеров, из разнообразных материалов (вкладыши, пирамидки, шнуровки). </w:t>
      </w:r>
    </w:p>
    <w:p w14:paraId="1C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2026-02-25T13:49:48Z</dcterms:modified>
</cp:coreProperties>
</file>