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486D" w14:textId="77777777" w:rsidR="0052452F" w:rsidRPr="00EA4676" w:rsidRDefault="0052452F" w:rsidP="0052452F">
      <w:pPr>
        <w:spacing w:after="0" w:line="240" w:lineRule="auto"/>
        <w:jc w:val="center"/>
        <w:rPr>
          <w:rFonts w:cs="Times New Roman"/>
          <w:szCs w:val="28"/>
        </w:rPr>
      </w:pPr>
      <w:r w:rsidRPr="00EA4676">
        <w:rPr>
          <w:rFonts w:cs="Times New Roman"/>
          <w:szCs w:val="28"/>
        </w:rPr>
        <w:t>Муниципальное автономное дошкольное образовательное учреждение</w:t>
      </w:r>
    </w:p>
    <w:p w14:paraId="446038B7" w14:textId="77777777" w:rsidR="0052452F" w:rsidRPr="00EA4676" w:rsidRDefault="0052452F" w:rsidP="0052452F">
      <w:pPr>
        <w:pBdr>
          <w:bottom w:val="single" w:sz="12" w:space="1" w:color="auto"/>
        </w:pBdr>
        <w:spacing w:after="0" w:line="240" w:lineRule="auto"/>
        <w:jc w:val="center"/>
        <w:rPr>
          <w:rFonts w:cs="Times New Roman"/>
          <w:szCs w:val="28"/>
        </w:rPr>
      </w:pPr>
      <w:r w:rsidRPr="00EA4676">
        <w:rPr>
          <w:rFonts w:cs="Times New Roman"/>
          <w:szCs w:val="28"/>
        </w:rPr>
        <w:t>«Детский сад №1»</w:t>
      </w:r>
    </w:p>
    <w:p w14:paraId="3A6CAA62" w14:textId="77777777" w:rsidR="0052452F" w:rsidRPr="00EA4676" w:rsidRDefault="0052452F" w:rsidP="0052452F">
      <w:pPr>
        <w:spacing w:after="0" w:line="240" w:lineRule="auto"/>
        <w:jc w:val="center"/>
        <w:rPr>
          <w:rFonts w:cs="Times New Roman"/>
          <w:szCs w:val="28"/>
        </w:rPr>
      </w:pPr>
      <w:r w:rsidRPr="00EA4676">
        <w:rPr>
          <w:rFonts w:cs="Times New Roman"/>
          <w:szCs w:val="28"/>
        </w:rPr>
        <w:t>623270, Свердловская область, г. Дегтярск, ул.</w:t>
      </w:r>
    </w:p>
    <w:p w14:paraId="75D14CA3" w14:textId="77777777" w:rsidR="0052452F" w:rsidRPr="00EA4676" w:rsidRDefault="0052452F" w:rsidP="0052452F">
      <w:pPr>
        <w:spacing w:after="0" w:line="240" w:lineRule="auto"/>
        <w:jc w:val="center"/>
        <w:rPr>
          <w:rFonts w:cs="Times New Roman"/>
          <w:szCs w:val="28"/>
        </w:rPr>
      </w:pPr>
      <w:r w:rsidRPr="00EA4676">
        <w:rPr>
          <w:rFonts w:cs="Times New Roman"/>
          <w:szCs w:val="28"/>
        </w:rPr>
        <w:t>тел.8(343)97 6</w:t>
      </w:r>
    </w:p>
    <w:p w14:paraId="7975FDA6" w14:textId="77777777" w:rsidR="0052452F" w:rsidRPr="00EA4676" w:rsidRDefault="0052452F" w:rsidP="0052452F">
      <w:pPr>
        <w:tabs>
          <w:tab w:val="left" w:pos="2253"/>
        </w:tabs>
        <w:spacing w:after="0" w:line="240" w:lineRule="auto"/>
        <w:jc w:val="center"/>
        <w:rPr>
          <w:szCs w:val="28"/>
        </w:rPr>
      </w:pPr>
    </w:p>
    <w:p w14:paraId="3E90D3FF" w14:textId="77777777" w:rsidR="0052452F" w:rsidRDefault="0052452F" w:rsidP="0052452F">
      <w:pPr>
        <w:shd w:val="clear" w:color="auto" w:fill="FFFFFF"/>
        <w:spacing w:after="0" w:line="240" w:lineRule="auto"/>
        <w:outlineLvl w:val="1"/>
        <w:rPr>
          <w:rFonts w:eastAsia="Times New Roman" w:cs="Times New Roman"/>
          <w:sz w:val="44"/>
          <w:szCs w:val="44"/>
          <w:lang w:eastAsia="ru-RU"/>
        </w:rPr>
      </w:pPr>
    </w:p>
    <w:p w14:paraId="5521BFDE" w14:textId="77777777" w:rsidR="0052452F" w:rsidRDefault="0052452F" w:rsidP="0052452F">
      <w:pPr>
        <w:shd w:val="clear" w:color="auto" w:fill="FFFFFF"/>
        <w:spacing w:after="0" w:line="240" w:lineRule="auto"/>
        <w:outlineLvl w:val="1"/>
        <w:rPr>
          <w:rFonts w:eastAsia="Times New Roman" w:cs="Times New Roman"/>
          <w:sz w:val="44"/>
          <w:szCs w:val="44"/>
          <w:lang w:eastAsia="ru-RU"/>
        </w:rPr>
      </w:pPr>
    </w:p>
    <w:p w14:paraId="0ACA8683" w14:textId="77777777" w:rsidR="0052452F" w:rsidRDefault="0052452F" w:rsidP="0052452F">
      <w:pPr>
        <w:shd w:val="clear" w:color="auto" w:fill="FFFFFF"/>
        <w:spacing w:after="0" w:line="240" w:lineRule="auto"/>
        <w:outlineLvl w:val="1"/>
        <w:rPr>
          <w:rFonts w:eastAsia="Times New Roman" w:cs="Times New Roman"/>
          <w:sz w:val="44"/>
          <w:szCs w:val="44"/>
          <w:lang w:eastAsia="ru-RU"/>
        </w:rPr>
      </w:pPr>
    </w:p>
    <w:p w14:paraId="1697016C" w14:textId="77777777" w:rsidR="0052452F" w:rsidRDefault="0052452F" w:rsidP="0052452F">
      <w:pPr>
        <w:shd w:val="clear" w:color="auto" w:fill="FFFFFF"/>
        <w:spacing w:after="0" w:line="240" w:lineRule="auto"/>
        <w:outlineLvl w:val="1"/>
        <w:rPr>
          <w:rFonts w:eastAsia="Times New Roman" w:cs="Times New Roman"/>
          <w:sz w:val="44"/>
          <w:szCs w:val="44"/>
          <w:lang w:eastAsia="ru-RU"/>
        </w:rPr>
      </w:pPr>
    </w:p>
    <w:p w14:paraId="3A1E37B2" w14:textId="77777777" w:rsidR="0052452F" w:rsidRDefault="0052452F" w:rsidP="0052452F">
      <w:pPr>
        <w:shd w:val="clear" w:color="auto" w:fill="FFFFFF"/>
        <w:spacing w:after="0" w:line="240" w:lineRule="auto"/>
        <w:outlineLvl w:val="1"/>
        <w:rPr>
          <w:rFonts w:eastAsia="Times New Roman" w:cs="Times New Roman"/>
          <w:sz w:val="44"/>
          <w:szCs w:val="44"/>
          <w:lang w:eastAsia="ru-RU"/>
        </w:rPr>
      </w:pPr>
    </w:p>
    <w:p w14:paraId="344B68A1" w14:textId="77777777" w:rsidR="0052452F" w:rsidRDefault="0052452F" w:rsidP="0052452F">
      <w:pPr>
        <w:shd w:val="clear" w:color="auto" w:fill="FFFFFF"/>
        <w:spacing w:after="0" w:line="240" w:lineRule="auto"/>
        <w:outlineLvl w:val="1"/>
        <w:rPr>
          <w:rFonts w:eastAsia="Times New Roman" w:cs="Times New Roman"/>
          <w:sz w:val="44"/>
          <w:szCs w:val="44"/>
          <w:lang w:eastAsia="ru-RU"/>
        </w:rPr>
      </w:pPr>
    </w:p>
    <w:p w14:paraId="4BF9AE79" w14:textId="77777777" w:rsidR="0052452F" w:rsidRPr="00AD2A70" w:rsidRDefault="0052452F" w:rsidP="0052452F">
      <w:pPr>
        <w:shd w:val="clear" w:color="auto" w:fill="FFFFFF"/>
        <w:spacing w:after="0" w:line="240" w:lineRule="auto"/>
        <w:jc w:val="center"/>
        <w:outlineLvl w:val="1"/>
        <w:rPr>
          <w:rFonts w:eastAsia="Times New Roman" w:cs="Times New Roman"/>
          <w:sz w:val="44"/>
          <w:szCs w:val="44"/>
          <w:lang w:eastAsia="ru-RU"/>
        </w:rPr>
      </w:pPr>
      <w:r w:rsidRPr="00AD2A70">
        <w:rPr>
          <w:rFonts w:eastAsia="Times New Roman" w:cs="Times New Roman"/>
          <w:sz w:val="44"/>
          <w:szCs w:val="44"/>
          <w:lang w:eastAsia="ru-RU"/>
        </w:rPr>
        <w:t>Консультация для педагогов</w:t>
      </w:r>
    </w:p>
    <w:p w14:paraId="44A72475" w14:textId="77777777" w:rsidR="0052452F" w:rsidRPr="00AD2A70" w:rsidRDefault="0052452F" w:rsidP="0052452F">
      <w:pPr>
        <w:shd w:val="clear" w:color="auto" w:fill="FFFFFF"/>
        <w:spacing w:after="0" w:line="240" w:lineRule="auto"/>
        <w:jc w:val="center"/>
        <w:outlineLvl w:val="1"/>
        <w:rPr>
          <w:rFonts w:eastAsia="Times New Roman" w:cs="Times New Roman"/>
          <w:sz w:val="44"/>
          <w:szCs w:val="44"/>
          <w:lang w:eastAsia="ru-RU"/>
        </w:rPr>
      </w:pPr>
      <w:r w:rsidRPr="00AD2A70">
        <w:rPr>
          <w:rFonts w:eastAsia="Times New Roman" w:cs="Times New Roman"/>
          <w:sz w:val="44"/>
          <w:szCs w:val="44"/>
          <w:lang w:eastAsia="ru-RU"/>
        </w:rPr>
        <w:t>«Современные технологии для развития речи </w:t>
      </w:r>
      <w:hyperlink r:id="rId4" w:history="1">
        <w:r w:rsidRPr="00AD2A70">
          <w:rPr>
            <w:rFonts w:eastAsia="Times New Roman" w:cs="Times New Roman"/>
            <w:sz w:val="44"/>
            <w:szCs w:val="44"/>
            <w:lang w:eastAsia="ru-RU"/>
          </w:rPr>
          <w:t>дошкольников</w:t>
        </w:r>
      </w:hyperlink>
      <w:r w:rsidRPr="00AD2A70">
        <w:rPr>
          <w:rFonts w:eastAsia="Times New Roman" w:cs="Times New Roman"/>
          <w:sz w:val="44"/>
          <w:szCs w:val="44"/>
          <w:lang w:eastAsia="ru-RU"/>
        </w:rPr>
        <w:t>»</w:t>
      </w:r>
    </w:p>
    <w:p w14:paraId="5B2E87CD" w14:textId="77777777" w:rsidR="0052452F" w:rsidRDefault="0052452F" w:rsidP="0052452F">
      <w:pPr>
        <w:jc w:val="center"/>
        <w:rPr>
          <w:rFonts w:eastAsia="Times New Roman" w:cs="Times New Roman"/>
          <w:sz w:val="44"/>
          <w:szCs w:val="44"/>
          <w:lang w:eastAsia="ru-RU"/>
        </w:rPr>
      </w:pPr>
    </w:p>
    <w:p w14:paraId="231CA182"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1C6CD07F"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15874A91"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02445986"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132B09AD"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751EFAD4"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408984B6"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76B510F5" w14:textId="77777777" w:rsidR="0052452F" w:rsidRDefault="0052452F" w:rsidP="00AD2A70">
      <w:pPr>
        <w:shd w:val="clear" w:color="auto" w:fill="FFFFFF"/>
        <w:spacing w:after="0" w:line="240" w:lineRule="auto"/>
        <w:jc w:val="center"/>
        <w:outlineLvl w:val="1"/>
        <w:rPr>
          <w:rFonts w:eastAsia="Times New Roman" w:cs="Times New Roman"/>
          <w:sz w:val="44"/>
          <w:szCs w:val="44"/>
          <w:lang w:eastAsia="ru-RU"/>
        </w:rPr>
      </w:pPr>
    </w:p>
    <w:p w14:paraId="1B5874DA" w14:textId="77777777" w:rsidR="0052452F" w:rsidRDefault="0052452F" w:rsidP="0052452F">
      <w:pPr>
        <w:shd w:val="clear" w:color="auto" w:fill="FFFFFF"/>
        <w:spacing w:after="0" w:line="240" w:lineRule="auto"/>
        <w:rPr>
          <w:rFonts w:eastAsia="Times New Roman" w:cs="Times New Roman"/>
          <w:szCs w:val="28"/>
          <w:lang w:eastAsia="ru-RU"/>
        </w:rPr>
      </w:pPr>
      <w:r>
        <w:rPr>
          <w:rFonts w:eastAsia="Times New Roman" w:cs="Times New Roman"/>
          <w:sz w:val="44"/>
          <w:szCs w:val="44"/>
          <w:lang w:eastAsia="ru-RU"/>
        </w:rPr>
        <w:t xml:space="preserve">                                                        </w:t>
      </w:r>
      <w:r w:rsidR="0012793B" w:rsidRPr="00AD2A70">
        <w:rPr>
          <w:rFonts w:eastAsia="Times New Roman" w:cs="Times New Roman"/>
          <w:szCs w:val="28"/>
          <w:lang w:eastAsia="ru-RU"/>
        </w:rPr>
        <w:t xml:space="preserve">Подготовила: </w:t>
      </w:r>
    </w:p>
    <w:p w14:paraId="2B878DC3" w14:textId="77777777" w:rsidR="0012793B" w:rsidRPr="00AD2A70" w:rsidRDefault="00AD2A70" w:rsidP="0052452F">
      <w:pPr>
        <w:shd w:val="clear" w:color="auto" w:fill="FFFFFF"/>
        <w:spacing w:after="0" w:line="240" w:lineRule="auto"/>
        <w:jc w:val="right"/>
        <w:rPr>
          <w:rFonts w:eastAsia="Times New Roman" w:cs="Times New Roman"/>
          <w:szCs w:val="28"/>
          <w:lang w:eastAsia="ru-RU"/>
        </w:rPr>
      </w:pPr>
      <w:proofErr w:type="spellStart"/>
      <w:r w:rsidRPr="00AD2A70">
        <w:rPr>
          <w:rFonts w:eastAsia="Times New Roman" w:cs="Times New Roman"/>
          <w:szCs w:val="28"/>
          <w:lang w:eastAsia="ru-RU"/>
        </w:rPr>
        <w:t>Ренёва</w:t>
      </w:r>
      <w:proofErr w:type="spellEnd"/>
      <w:r w:rsidRPr="00AD2A70">
        <w:rPr>
          <w:rFonts w:eastAsia="Times New Roman" w:cs="Times New Roman"/>
          <w:szCs w:val="28"/>
          <w:lang w:eastAsia="ru-RU"/>
        </w:rPr>
        <w:t xml:space="preserve"> Т.В. – воспитатель.</w:t>
      </w:r>
    </w:p>
    <w:p w14:paraId="0A563F05" w14:textId="77777777" w:rsidR="0052452F" w:rsidRDefault="0052452F" w:rsidP="00AD2A70">
      <w:pPr>
        <w:shd w:val="clear" w:color="auto" w:fill="FFFFFF"/>
        <w:spacing w:after="0" w:line="240" w:lineRule="auto"/>
        <w:ind w:firstLine="851"/>
        <w:jc w:val="both"/>
        <w:rPr>
          <w:rFonts w:eastAsia="Times New Roman" w:cs="Times New Roman"/>
          <w:szCs w:val="28"/>
          <w:lang w:eastAsia="ru-RU"/>
        </w:rPr>
      </w:pPr>
    </w:p>
    <w:p w14:paraId="29BC59BE" w14:textId="77777777" w:rsidR="0052452F" w:rsidRDefault="0052452F" w:rsidP="00AD2A70">
      <w:pPr>
        <w:shd w:val="clear" w:color="auto" w:fill="FFFFFF"/>
        <w:spacing w:after="0" w:line="240" w:lineRule="auto"/>
        <w:ind w:firstLine="851"/>
        <w:jc w:val="both"/>
        <w:rPr>
          <w:rFonts w:eastAsia="Times New Roman" w:cs="Times New Roman"/>
          <w:szCs w:val="28"/>
          <w:lang w:eastAsia="ru-RU"/>
        </w:rPr>
      </w:pPr>
    </w:p>
    <w:p w14:paraId="39CB86F8" w14:textId="77777777" w:rsidR="0052452F" w:rsidRDefault="0052452F" w:rsidP="0052452F">
      <w:pPr>
        <w:shd w:val="clear" w:color="auto" w:fill="FFFFFF"/>
        <w:spacing w:after="0" w:line="240" w:lineRule="auto"/>
        <w:ind w:firstLine="851"/>
        <w:jc w:val="center"/>
        <w:rPr>
          <w:rFonts w:eastAsia="Times New Roman" w:cs="Times New Roman"/>
          <w:szCs w:val="28"/>
          <w:lang w:eastAsia="ru-RU"/>
        </w:rPr>
      </w:pPr>
    </w:p>
    <w:p w14:paraId="5005B3BB" w14:textId="77777777" w:rsidR="0052452F" w:rsidRDefault="0052452F" w:rsidP="0052452F">
      <w:pPr>
        <w:shd w:val="clear" w:color="auto" w:fill="FFFFFF"/>
        <w:spacing w:after="0" w:line="240" w:lineRule="auto"/>
        <w:ind w:firstLine="851"/>
        <w:jc w:val="center"/>
        <w:rPr>
          <w:rFonts w:eastAsia="Times New Roman" w:cs="Times New Roman"/>
          <w:szCs w:val="28"/>
          <w:lang w:eastAsia="ru-RU"/>
        </w:rPr>
      </w:pPr>
    </w:p>
    <w:p w14:paraId="05CCEC65" w14:textId="77777777" w:rsidR="0052452F" w:rsidRDefault="0052452F" w:rsidP="0052452F">
      <w:pPr>
        <w:shd w:val="clear" w:color="auto" w:fill="FFFFFF"/>
        <w:spacing w:after="0" w:line="240" w:lineRule="auto"/>
        <w:ind w:firstLine="851"/>
        <w:jc w:val="center"/>
        <w:rPr>
          <w:rFonts w:eastAsia="Times New Roman" w:cs="Times New Roman"/>
          <w:szCs w:val="28"/>
          <w:lang w:eastAsia="ru-RU"/>
        </w:rPr>
      </w:pPr>
    </w:p>
    <w:p w14:paraId="2195A1E7" w14:textId="77777777" w:rsidR="0052452F" w:rsidRDefault="0052452F" w:rsidP="0052452F">
      <w:pPr>
        <w:shd w:val="clear" w:color="auto" w:fill="FFFFFF"/>
        <w:spacing w:after="0" w:line="240" w:lineRule="auto"/>
        <w:ind w:firstLine="851"/>
        <w:jc w:val="center"/>
        <w:rPr>
          <w:rFonts w:eastAsia="Times New Roman" w:cs="Times New Roman"/>
          <w:szCs w:val="28"/>
          <w:lang w:eastAsia="ru-RU"/>
        </w:rPr>
      </w:pPr>
      <w:r>
        <w:rPr>
          <w:rFonts w:eastAsia="Times New Roman" w:cs="Times New Roman"/>
          <w:szCs w:val="28"/>
          <w:lang w:eastAsia="ru-RU"/>
        </w:rPr>
        <w:t>г. Дегтярск</w:t>
      </w:r>
    </w:p>
    <w:p w14:paraId="0470F223" w14:textId="77777777" w:rsidR="0052452F" w:rsidRDefault="0052452F" w:rsidP="0052452F">
      <w:pPr>
        <w:shd w:val="clear" w:color="auto" w:fill="FFFFFF"/>
        <w:spacing w:after="0" w:line="240" w:lineRule="auto"/>
        <w:ind w:firstLine="851"/>
        <w:jc w:val="center"/>
        <w:rPr>
          <w:rFonts w:eastAsia="Times New Roman" w:cs="Times New Roman"/>
          <w:szCs w:val="28"/>
          <w:lang w:eastAsia="ru-RU"/>
        </w:rPr>
      </w:pPr>
    </w:p>
    <w:p w14:paraId="7C05ECAC" w14:textId="7F46F6CF" w:rsidR="0052452F" w:rsidRDefault="0052452F" w:rsidP="00AD2A70">
      <w:pPr>
        <w:shd w:val="clear" w:color="auto" w:fill="FFFFFF"/>
        <w:spacing w:after="0" w:line="240" w:lineRule="auto"/>
        <w:ind w:firstLine="851"/>
        <w:jc w:val="both"/>
        <w:rPr>
          <w:rFonts w:eastAsia="Times New Roman" w:cs="Times New Roman"/>
          <w:szCs w:val="28"/>
          <w:lang w:eastAsia="ru-RU"/>
        </w:rPr>
      </w:pPr>
      <w:r>
        <w:rPr>
          <w:rFonts w:eastAsia="Times New Roman" w:cs="Times New Roman"/>
          <w:szCs w:val="28"/>
          <w:lang w:eastAsia="ru-RU"/>
        </w:rPr>
        <w:t xml:space="preserve">                                                  20</w:t>
      </w:r>
      <w:r w:rsidR="00CB6A78">
        <w:rPr>
          <w:rFonts w:eastAsia="Times New Roman" w:cs="Times New Roman"/>
          <w:szCs w:val="28"/>
          <w:lang w:eastAsia="ru-RU"/>
        </w:rPr>
        <w:t>23</w:t>
      </w:r>
      <w:r>
        <w:rPr>
          <w:rFonts w:eastAsia="Times New Roman" w:cs="Times New Roman"/>
          <w:szCs w:val="28"/>
          <w:lang w:eastAsia="ru-RU"/>
        </w:rPr>
        <w:t xml:space="preserve"> г.</w:t>
      </w:r>
    </w:p>
    <w:p w14:paraId="0A557906"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lastRenderedPageBreak/>
        <w:t>В этих изменяющихся условиях введения ФГОС педагогу дошкольного образования необходимо уметь ориентироваться в многообразии интегративных подходов к развитию детей, в широком выборе современных технологий.</w:t>
      </w:r>
    </w:p>
    <w:p w14:paraId="0C109C72"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Инновационные технологии – это система методов, способов, приёмов </w:t>
      </w:r>
      <w:hyperlink r:id="rId5" w:history="1">
        <w:r w:rsidRPr="00AD2A70">
          <w:rPr>
            <w:rFonts w:eastAsia="Times New Roman" w:cs="Times New Roman"/>
            <w:szCs w:val="28"/>
            <w:lang w:eastAsia="ru-RU"/>
          </w:rPr>
          <w:t>обучения</w:t>
        </w:r>
      </w:hyperlink>
      <w:r w:rsidRPr="00AD2A70">
        <w:rPr>
          <w:rFonts w:eastAsia="Times New Roman" w:cs="Times New Roman"/>
          <w:szCs w:val="28"/>
          <w:lang w:eastAsia="ru-RU"/>
        </w:rPr>
        <w:t>,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 Они сочетают прогрессивные креативные технологии, доказавшие свою эффективность в процессе педагогической деятельности.</w:t>
      </w:r>
    </w:p>
    <w:p w14:paraId="744E7CE7"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В современных образовательных технологиях передача знаний идёт в форме постоянного решения проблем. Педагог должен знать и помнить о том, что ребёнок не сосуд, а факел, который надо зажечь!</w:t>
      </w:r>
    </w:p>
    <w:p w14:paraId="021AB2AB"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В настоящее время существуют разные программы и технологии, где предполагается обучение дошкольников составлению различных моделей для развития связной речи.</w:t>
      </w:r>
    </w:p>
    <w:p w14:paraId="5544EA44" w14:textId="4DFA5C5E"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Начну</w:t>
      </w:r>
      <w:r w:rsidR="00A87480">
        <w:rPr>
          <w:rFonts w:eastAsia="Times New Roman" w:cs="Times New Roman"/>
          <w:szCs w:val="28"/>
          <w:lang w:eastAsia="ru-RU"/>
        </w:rPr>
        <w:t xml:space="preserve"> </w:t>
      </w:r>
      <w:r w:rsidRPr="00AD2A70">
        <w:rPr>
          <w:rFonts w:eastAsia="Times New Roman" w:cs="Times New Roman"/>
          <w:szCs w:val="28"/>
          <w:lang w:eastAsia="ru-RU"/>
        </w:rPr>
        <w:t xml:space="preserve">с </w:t>
      </w:r>
      <w:r w:rsidRPr="00AD2A70">
        <w:rPr>
          <w:rFonts w:eastAsia="Times New Roman" w:cs="Times New Roman"/>
          <w:b/>
          <w:szCs w:val="28"/>
          <w:lang w:eastAsia="ru-RU"/>
        </w:rPr>
        <w:t>технологии дифференцированного (индивидуализированного) обучения</w:t>
      </w:r>
      <w:r w:rsidRPr="00AD2A70">
        <w:rPr>
          <w:rFonts w:eastAsia="Times New Roman" w:cs="Times New Roman"/>
          <w:szCs w:val="28"/>
          <w:lang w:eastAsia="ru-RU"/>
        </w:rPr>
        <w:t xml:space="preserve"> дошкольного возраста. Данная технология основывается на изучении и понимании ребёнка. Педагог изучает особенности </w:t>
      </w:r>
      <w:hyperlink r:id="rId6" w:history="1">
        <w:r w:rsidRPr="00AD2A70">
          <w:rPr>
            <w:rFonts w:eastAsia="Times New Roman" w:cs="Times New Roman"/>
            <w:szCs w:val="28"/>
            <w:lang w:eastAsia="ru-RU"/>
          </w:rPr>
          <w:t>воспитанников</w:t>
        </w:r>
      </w:hyperlink>
      <w:r w:rsidRPr="00AD2A70">
        <w:rPr>
          <w:rFonts w:eastAsia="Times New Roman" w:cs="Times New Roman"/>
          <w:szCs w:val="28"/>
          <w:lang w:eastAsia="ru-RU"/>
        </w:rPr>
        <w:t> при помощи наблюдения, делает соответствующие заметки в виде карт индивидуального развития ребёнка. На основе длительного сбора информаций, воспитатель отмечает достижения ребёнка. В схеме содержания карты прослеживается уровень зрелости нервных процессов, умственное развитие, в которое входит: внимание, память, мышление. Отдельное место отводится речевому развитию: звуковая сторона речи, смысловая сторона речи – а это развитие связной речи, активизация словаря, грамматического строя речи. Для примера, «Индивидуальная программа познавательного общения взрослого с ребёнком» М. Ю. Сторожевой.</w:t>
      </w:r>
    </w:p>
    <w:p w14:paraId="4FDC099F" w14:textId="77777777" w:rsidR="0012793B" w:rsidRPr="00AD2A70" w:rsidRDefault="0012793B" w:rsidP="00AD2A70">
      <w:pPr>
        <w:shd w:val="clear" w:color="auto" w:fill="FFFFFF"/>
        <w:spacing w:after="0" w:line="240" w:lineRule="auto"/>
        <w:ind w:firstLine="851"/>
        <w:jc w:val="both"/>
        <w:rPr>
          <w:rFonts w:eastAsia="Times New Roman" w:cs="Times New Roman"/>
          <w:b/>
          <w:szCs w:val="28"/>
          <w:lang w:eastAsia="ru-RU"/>
        </w:rPr>
      </w:pPr>
      <w:r w:rsidRPr="00AD2A70">
        <w:rPr>
          <w:rFonts w:eastAsia="Times New Roman" w:cs="Times New Roman"/>
          <w:b/>
          <w:szCs w:val="28"/>
          <w:lang w:eastAsia="ru-RU"/>
        </w:rPr>
        <w:t>Игровые технологии.</w:t>
      </w:r>
    </w:p>
    <w:p w14:paraId="4769FE37"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Играя – развиваем – обучаем – воспитываем.</w:t>
      </w:r>
    </w:p>
    <w:p w14:paraId="484A5B92"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В развивающих играх прослеживается один из основных принципов обучения – от простого к сложному. Развивающие игры очень разнообразны по своему содержанию и, кроме того, они не терпят принуждения и создают атмосферу свободного и радостного творчества. Например, игры для обучения чтению, развитию логического мышления, памяти, настольно – печатные игры, сюжетно – дидактические, игры – инсценировки, театрально – игровая деятельность, пальчиковый театр.</w:t>
      </w:r>
    </w:p>
    <w:p w14:paraId="67A7D6D7"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xml:space="preserve">Есть интересная </w:t>
      </w:r>
      <w:r w:rsidRPr="00AD2A70">
        <w:rPr>
          <w:rFonts w:eastAsia="Times New Roman" w:cs="Times New Roman"/>
          <w:i/>
          <w:szCs w:val="28"/>
          <w:lang w:eastAsia="ru-RU"/>
        </w:rPr>
        <w:t>технология «Сказочные лабиринты игры»</w:t>
      </w:r>
      <w:r w:rsidRPr="00AD2A70">
        <w:rPr>
          <w:rFonts w:eastAsia="Times New Roman" w:cs="Times New Roman"/>
          <w:szCs w:val="28"/>
          <w:lang w:eastAsia="ru-RU"/>
        </w:rPr>
        <w:t xml:space="preserve"> В. В. </w:t>
      </w:r>
      <w:proofErr w:type="spellStart"/>
      <w:r w:rsidRPr="00AD2A70">
        <w:rPr>
          <w:rFonts w:eastAsia="Times New Roman" w:cs="Times New Roman"/>
          <w:szCs w:val="28"/>
          <w:lang w:eastAsia="ru-RU"/>
        </w:rPr>
        <w:t>Воскобовича</w:t>
      </w:r>
      <w:proofErr w:type="spellEnd"/>
      <w:r w:rsidRPr="00AD2A70">
        <w:rPr>
          <w:rFonts w:eastAsia="Times New Roman" w:cs="Times New Roman"/>
          <w:szCs w:val="28"/>
          <w:lang w:eastAsia="ru-RU"/>
        </w:rPr>
        <w:t>. Эта технология представляет собой систему поэтапного включения авторских игр в деятельность ребёнка и постепенного усложнения образовательного материала – игра «Четырёхцветный квадрат», «Прозрачный квадрат», «Чудо соты».</w:t>
      </w:r>
    </w:p>
    <w:p w14:paraId="2CE9D80A"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xml:space="preserve">Необходимо отметить использование </w:t>
      </w:r>
      <w:r w:rsidRPr="00AD2A70">
        <w:rPr>
          <w:rFonts w:eastAsia="Times New Roman" w:cs="Times New Roman"/>
          <w:b/>
          <w:szCs w:val="28"/>
          <w:lang w:eastAsia="ru-RU"/>
        </w:rPr>
        <w:t>метода образовательных проектов</w:t>
      </w:r>
      <w:r w:rsidRPr="00AD2A70">
        <w:rPr>
          <w:rFonts w:eastAsia="Times New Roman" w:cs="Times New Roman"/>
          <w:szCs w:val="28"/>
          <w:lang w:eastAsia="ru-RU"/>
        </w:rPr>
        <w:t xml:space="preserve"> в работе ДОУ.</w:t>
      </w:r>
    </w:p>
    <w:p w14:paraId="2211BA9F"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lastRenderedPageBreak/>
        <w:t xml:space="preserve">В основе любого проекта лежит проблема, для решения которой необходим исследовательский поиск в различных направлениях, результаты которого обобщаются и объединяются в одно целое. Разработку тематических проектов можно связать с использованием модели «трёх вопросов» - суть этой модели заключается в том, что </w:t>
      </w:r>
      <w:proofErr w:type="spellStart"/>
      <w:r w:rsidRPr="00AD2A70">
        <w:rPr>
          <w:rFonts w:eastAsia="Times New Roman" w:cs="Times New Roman"/>
          <w:szCs w:val="28"/>
          <w:lang w:eastAsia="ru-RU"/>
        </w:rPr>
        <w:t>педагого</w:t>
      </w:r>
      <w:proofErr w:type="spellEnd"/>
      <w:r w:rsidRPr="00AD2A70">
        <w:rPr>
          <w:rFonts w:eastAsia="Times New Roman" w:cs="Times New Roman"/>
          <w:szCs w:val="28"/>
          <w:lang w:eastAsia="ru-RU"/>
        </w:rPr>
        <w:t xml:space="preserve"> задаёт детям три вопроса:</w:t>
      </w:r>
    </w:p>
    <w:p w14:paraId="1D312813"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Что мы знаем?</w:t>
      </w:r>
    </w:p>
    <w:p w14:paraId="01DB313B"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Что мы хотим узнать, и как мы это будем делать?</w:t>
      </w:r>
    </w:p>
    <w:p w14:paraId="50FC4D1E"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Что мы узнали?</w:t>
      </w:r>
    </w:p>
    <w:p w14:paraId="7A2769F0"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b/>
          <w:szCs w:val="28"/>
          <w:lang w:eastAsia="ru-RU"/>
        </w:rPr>
        <w:t>Здоровьесберегающие технологии</w:t>
      </w:r>
      <w:r w:rsidRPr="00AD2A70">
        <w:rPr>
          <w:rFonts w:eastAsia="Times New Roman" w:cs="Times New Roman"/>
          <w:szCs w:val="28"/>
          <w:lang w:eastAsia="ru-RU"/>
        </w:rPr>
        <w:t xml:space="preserve"> – сюда относятся подвижные игры, пальчиковая гимнастика, бодрящая гимнастика после сна. Все эти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14:paraId="55181E90"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b/>
          <w:szCs w:val="28"/>
          <w:lang w:eastAsia="ru-RU"/>
        </w:rPr>
        <w:t>Метод наглядного моделирования</w:t>
      </w:r>
      <w:r w:rsidRPr="00AD2A70">
        <w:rPr>
          <w:rFonts w:eastAsia="Times New Roman" w:cs="Times New Roman"/>
          <w:szCs w:val="28"/>
          <w:lang w:eastAsia="ru-RU"/>
        </w:rPr>
        <w:t>.</w:t>
      </w:r>
    </w:p>
    <w:p w14:paraId="19595641" w14:textId="77777777" w:rsidR="0012793B" w:rsidRPr="00AD2A70" w:rsidRDefault="0012793B" w:rsidP="00AD2A70">
      <w:pPr>
        <w:shd w:val="clear" w:color="auto" w:fill="FFFFFF"/>
        <w:spacing w:after="0" w:line="240" w:lineRule="auto"/>
        <w:ind w:firstLine="851"/>
        <w:jc w:val="both"/>
        <w:rPr>
          <w:rFonts w:eastAsia="Times New Roman" w:cs="Times New Roman"/>
          <w:i/>
          <w:szCs w:val="28"/>
          <w:lang w:eastAsia="ru-RU"/>
        </w:rPr>
      </w:pPr>
      <w:r w:rsidRPr="00AD2A70">
        <w:rPr>
          <w:rFonts w:eastAsia="Times New Roman" w:cs="Times New Roman"/>
          <w:szCs w:val="28"/>
          <w:lang w:eastAsia="ru-RU"/>
        </w:rPr>
        <w:t xml:space="preserve">К методам наглядного моделирования относится </w:t>
      </w:r>
      <w:r w:rsidRPr="00AD2A70">
        <w:rPr>
          <w:rFonts w:eastAsia="Times New Roman" w:cs="Times New Roman"/>
          <w:i/>
          <w:szCs w:val="28"/>
          <w:lang w:eastAsia="ru-RU"/>
        </w:rPr>
        <w:t>мнемотехника.</w:t>
      </w:r>
    </w:p>
    <w:p w14:paraId="134EAA39"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i/>
          <w:szCs w:val="28"/>
          <w:lang w:eastAsia="ru-RU"/>
        </w:rPr>
        <w:t xml:space="preserve">Мнемотехника </w:t>
      </w:r>
      <w:r w:rsidRPr="00AD2A70">
        <w:rPr>
          <w:rFonts w:eastAsia="Times New Roman" w:cs="Times New Roman"/>
          <w:szCs w:val="28"/>
          <w:lang w:eastAsia="ru-RU"/>
        </w:rPr>
        <w:t xml:space="preserve">– это совокупность правил и приёмов, облегчающих процесс запоминания. Модель позволяет детям легко запомнить информацию и применять её в практической деятельности. </w:t>
      </w:r>
      <w:proofErr w:type="spellStart"/>
      <w:r w:rsidRPr="00AD2A70">
        <w:rPr>
          <w:rFonts w:eastAsia="Times New Roman" w:cs="Times New Roman"/>
          <w:szCs w:val="28"/>
          <w:lang w:eastAsia="ru-RU"/>
        </w:rPr>
        <w:t>Мнемотаблицы</w:t>
      </w:r>
      <w:proofErr w:type="spellEnd"/>
      <w:r w:rsidRPr="00AD2A70">
        <w:rPr>
          <w:rFonts w:eastAsia="Times New Roman" w:cs="Times New Roman"/>
          <w:szCs w:val="28"/>
          <w:lang w:eastAsia="ru-RU"/>
        </w:rPr>
        <w:t xml:space="preserve"> особенно эффективны при пересказе, составлении рассказов, заучивании стихотворений.</w:t>
      </w:r>
    </w:p>
    <w:p w14:paraId="4BE4FF6F"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Воробьёва Валентина Константиновна называет эту методику сенсорно – графическими схемами;</w:t>
      </w:r>
    </w:p>
    <w:p w14:paraId="2B281E0A"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Ткаченко Т. А. – предметно – схематическими моделями;</w:t>
      </w:r>
    </w:p>
    <w:p w14:paraId="3D1541DF"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Глухов В. П. – блоками – квадратами;</w:t>
      </w:r>
    </w:p>
    <w:p w14:paraId="738CD27D"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Большова Т. В. – коллажем.</w:t>
      </w:r>
    </w:p>
    <w:p w14:paraId="7C73F460"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Есть замечательная «Дополнительная программа развития связной речи» к программе «Детство» Олеси Игоревны Ушаковой «Ознакомление с художественной литературой дошкольников». В этой программе ведётся моделирование детских произведений: сказок, рассказов через условные обозначения.</w:t>
      </w:r>
    </w:p>
    <w:p w14:paraId="07730788"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xml:space="preserve">В заключении хочу рассказать о </w:t>
      </w:r>
      <w:r w:rsidRPr="00AD2A70">
        <w:rPr>
          <w:rFonts w:eastAsia="Times New Roman" w:cs="Times New Roman"/>
          <w:i/>
          <w:szCs w:val="28"/>
          <w:lang w:eastAsia="ru-RU"/>
        </w:rPr>
        <w:t>картах Проппа</w:t>
      </w:r>
      <w:r w:rsidRPr="00AD2A70">
        <w:rPr>
          <w:rFonts w:eastAsia="Times New Roman" w:cs="Times New Roman"/>
          <w:szCs w:val="28"/>
          <w:lang w:eastAsia="ru-RU"/>
        </w:rPr>
        <w:t xml:space="preserve">. Замечательный фольклорист В. Я. Пропп, изучая волшебные сказки проанализировал их структуру и выделил постоянные функции. Согласно системе Проппа их 31. </w:t>
      </w:r>
      <w:proofErr w:type="gramStart"/>
      <w:r w:rsidRPr="00AD2A70">
        <w:rPr>
          <w:rFonts w:eastAsia="Times New Roman" w:cs="Times New Roman"/>
          <w:szCs w:val="28"/>
          <w:lang w:eastAsia="ru-RU"/>
        </w:rPr>
        <w:t>Но разумеется</w:t>
      </w:r>
      <w:proofErr w:type="gramEnd"/>
      <w:r w:rsidRPr="00AD2A70">
        <w:rPr>
          <w:rFonts w:eastAsia="Times New Roman" w:cs="Times New Roman"/>
          <w:szCs w:val="28"/>
          <w:lang w:eastAsia="ru-RU"/>
        </w:rPr>
        <w:t xml:space="preserve"> не каждая сказка содержит их в полном объёме. Преимущество карт очевидно, каждая из них – целый срез сказочного мира. С помощью карт Проппа можно приступить к непосредственному сочинению сказок, но в начале этой работы необходимо пройти так называемые «подготовительные игры», в которых дети выделяют происходящие чудеса в сказках, например,</w:t>
      </w:r>
    </w:p>
    <w:p w14:paraId="62F49B3C"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На чём можно отправиться за тридевять земель? – ковёр – самолёт, сапоги – скороходы, на сером волке;</w:t>
      </w:r>
    </w:p>
    <w:p w14:paraId="5CF43ACA"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Что помогает указать дорогу? – колечко, пёрышко, клубок;</w:t>
      </w:r>
    </w:p>
    <w:p w14:paraId="20804A1A"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 Вспомните помощников, помогающих выполнить любое указание сказочного героя – молодцы из ларца, двое из сумы, джин из бутылки;</w:t>
      </w:r>
    </w:p>
    <w:p w14:paraId="74A77E71"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lastRenderedPageBreak/>
        <w:t>• Как и с помощью чего осуществляются разные превращения? – волшебные слова, волшебная палочка.</w:t>
      </w:r>
    </w:p>
    <w:p w14:paraId="58AA9B54"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Карты Проппа стимулируют развитие внимания, восприятия, фантазии, творческого воображения, волевых качеств, активизируют связную речь, способствуют повышению поисковой активности.</w:t>
      </w:r>
    </w:p>
    <w:p w14:paraId="2415BD1C" w14:textId="77777777" w:rsidR="0012793B" w:rsidRPr="00AD2A70" w:rsidRDefault="0012793B" w:rsidP="00AD2A70">
      <w:pPr>
        <w:shd w:val="clear" w:color="auto" w:fill="FFFFFF"/>
        <w:spacing w:after="0" w:line="240" w:lineRule="auto"/>
        <w:ind w:firstLine="851"/>
        <w:jc w:val="both"/>
        <w:rPr>
          <w:rFonts w:eastAsia="Times New Roman" w:cs="Times New Roman"/>
          <w:szCs w:val="28"/>
          <w:lang w:eastAsia="ru-RU"/>
        </w:rPr>
      </w:pPr>
      <w:r w:rsidRPr="00AD2A70">
        <w:rPr>
          <w:rFonts w:eastAsia="Times New Roman" w:cs="Times New Roman"/>
          <w:szCs w:val="28"/>
          <w:lang w:eastAsia="ru-RU"/>
        </w:rPr>
        <w:t>Из всего выше сказанного следует вывод: развитие дошкольного образования, его переход на новый качественный уровень не могут осуществляться без использования инновационных технологий в работе с детьми дошкольного возраста.</w:t>
      </w:r>
    </w:p>
    <w:p w14:paraId="71049B9C" w14:textId="77777777" w:rsidR="00AE31C7" w:rsidRPr="00AD2A70" w:rsidRDefault="00AE31C7" w:rsidP="00AD2A70">
      <w:pPr>
        <w:spacing w:after="0"/>
        <w:rPr>
          <w:rFonts w:cs="Times New Roman"/>
          <w:szCs w:val="28"/>
        </w:rPr>
      </w:pPr>
    </w:p>
    <w:sectPr w:rsidR="00AE31C7" w:rsidRPr="00AD2A70" w:rsidSect="00AD2A70">
      <w:pgSz w:w="11906" w:h="16838"/>
      <w:pgMar w:top="1134" w:right="850" w:bottom="1134" w:left="1701"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D3FED"/>
    <w:rsid w:val="0012793B"/>
    <w:rsid w:val="002566CE"/>
    <w:rsid w:val="004165D2"/>
    <w:rsid w:val="0050028D"/>
    <w:rsid w:val="0052452F"/>
    <w:rsid w:val="009E4820"/>
    <w:rsid w:val="00A87480"/>
    <w:rsid w:val="00AD2A70"/>
    <w:rsid w:val="00AE31C7"/>
    <w:rsid w:val="00CB6A78"/>
    <w:rsid w:val="00DD3FED"/>
    <w:rsid w:val="00E16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C7CB"/>
  <w15:docId w15:val="{80C25F5E-8696-4EAB-B127-BDD4A3A6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9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guda.ru/ds/grazhdansko-patrioticheskoe-vospitanie.html" TargetMode="External"/><Relationship Id="rId5" Type="http://schemas.openxmlformats.org/officeDocument/2006/relationships/hyperlink" Target="http://raguda.ru/ds/grazhdansko-patrioticheskoe-vospitanie.html" TargetMode="External"/><Relationship Id="rId4" Type="http://schemas.openxmlformats.org/officeDocument/2006/relationships/hyperlink" Target="http://raguda.ru/ds/grazhdansko-patrioticheskoe-vospita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Звездный</dc:creator>
  <cp:lastModifiedBy>Admin</cp:lastModifiedBy>
  <cp:revision>7</cp:revision>
  <dcterms:created xsi:type="dcterms:W3CDTF">2018-04-02T14:31:00Z</dcterms:created>
  <dcterms:modified xsi:type="dcterms:W3CDTF">2025-12-29T08:34:00Z</dcterms:modified>
</cp:coreProperties>
</file>