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DDD" w:rsidRDefault="002F7DDD" w:rsidP="00804D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804D31">
        <w:rPr>
          <w:rFonts w:ascii="Times New Roman" w:hAnsi="Times New Roman" w:cs="Times New Roman"/>
          <w:b/>
          <w:i/>
          <w:sz w:val="24"/>
          <w:szCs w:val="24"/>
        </w:rPr>
        <w:t>Технологии формирования функциональной грамотности обучающихся на уроках математики</w:t>
      </w:r>
    </w:p>
    <w:bookmarkEnd w:id="0"/>
    <w:p w:rsidR="00804D31" w:rsidRPr="00804D31" w:rsidRDefault="00804D31" w:rsidP="00804D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17DA9" w:rsidRPr="00804D31" w:rsidRDefault="002F7DDD" w:rsidP="00804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D31">
        <w:rPr>
          <w:rFonts w:ascii="Times New Roman" w:hAnsi="Times New Roman" w:cs="Times New Roman"/>
          <w:sz w:val="24"/>
          <w:szCs w:val="24"/>
        </w:rPr>
        <w:t>При комплексном подходе к анализу конкурентоспособности образования страны, который невозможно оценить вне контекста международных исследований качества образования, выделяются три типа индикаторов: — функционирование образовательной системы в целом (например, охват, финансирование, дифференциация); — характеристики образовательного процесса на уровне образовательных организаций (структура, условия, кадры, содержание, технологии); — образовательные результаты.</w:t>
      </w:r>
    </w:p>
    <w:p w:rsidR="002F7DDD" w:rsidRPr="00804D31" w:rsidRDefault="002F7DDD" w:rsidP="00804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D31">
        <w:rPr>
          <w:rFonts w:ascii="Times New Roman" w:hAnsi="Times New Roman" w:cs="Times New Roman"/>
          <w:sz w:val="24"/>
          <w:szCs w:val="24"/>
        </w:rPr>
        <w:t>Именно результаты международных исследований PIRLS, TIMSS, PISA служат целевыми показателями качества образования страны, которые отражены в Государственной программе РФ «Развитие образования» (2018‒2025 годы) от 26 декабря 2017 года. Особый интерес представляет исследование PISA - Международная оценка образовательных достижений учащихся (</w:t>
      </w:r>
      <w:proofErr w:type="spellStart"/>
      <w:r w:rsidRPr="00804D31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804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D3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04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D31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804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D31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804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D31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804D31">
        <w:rPr>
          <w:rFonts w:ascii="Times New Roman" w:hAnsi="Times New Roman" w:cs="Times New Roman"/>
          <w:sz w:val="24"/>
          <w:szCs w:val="24"/>
        </w:rPr>
        <w:t xml:space="preserve">). В этой программе впервые реализуется </w:t>
      </w:r>
      <w:proofErr w:type="spellStart"/>
      <w:r w:rsidRPr="00804D31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804D31">
        <w:rPr>
          <w:rFonts w:ascii="Times New Roman" w:hAnsi="Times New Roman" w:cs="Times New Roman"/>
          <w:sz w:val="24"/>
          <w:szCs w:val="24"/>
        </w:rPr>
        <w:t xml:space="preserve"> подход в оценке образовательных достижений. Исследование PISA ставит своей целью проверку подготовки молодежи к «взрослой» жизни, что отличает его от других международных исследований.</w:t>
      </w:r>
    </w:p>
    <w:p w:rsidR="002F7DDD" w:rsidRPr="00804D31" w:rsidRDefault="002F7DDD" w:rsidP="00804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D31">
        <w:rPr>
          <w:rFonts w:ascii="Times New Roman" w:hAnsi="Times New Roman" w:cs="Times New Roman"/>
          <w:sz w:val="24"/>
          <w:szCs w:val="24"/>
        </w:rPr>
        <w:t xml:space="preserve">Причины низких результатов российских школьников в международных исследованиях. </w:t>
      </w:r>
    </w:p>
    <w:p w:rsidR="002F7DDD" w:rsidRPr="00804D31" w:rsidRDefault="002F7DDD" w:rsidP="00804D3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31">
        <w:rPr>
          <w:rFonts w:ascii="Times New Roman" w:hAnsi="Times New Roman" w:cs="Times New Roman"/>
          <w:sz w:val="24"/>
          <w:szCs w:val="24"/>
        </w:rPr>
        <w:t>неумение работать с геометрическими моделями и схемами: непонимание предлагаемых задач, сопровождающихся такими схемами, и неспособность использовать такие схемы как инструмент решения;</w:t>
      </w:r>
    </w:p>
    <w:p w:rsidR="002F7DDD" w:rsidRPr="00804D31" w:rsidRDefault="002F7DDD" w:rsidP="00804D3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31">
        <w:rPr>
          <w:rFonts w:ascii="Times New Roman" w:hAnsi="Times New Roman" w:cs="Times New Roman"/>
          <w:sz w:val="24"/>
          <w:szCs w:val="24"/>
        </w:rPr>
        <w:t>низкая практикоориентированность знаний в математике, излишняя академичность;</w:t>
      </w:r>
    </w:p>
    <w:p w:rsidR="002F7DDD" w:rsidRPr="00804D31" w:rsidRDefault="002F7DDD" w:rsidP="00804D3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31">
        <w:rPr>
          <w:rFonts w:ascii="Times New Roman" w:hAnsi="Times New Roman" w:cs="Times New Roman"/>
          <w:sz w:val="24"/>
          <w:szCs w:val="24"/>
        </w:rPr>
        <w:t>низкий уровень работы с текстовыми задачами</w:t>
      </w:r>
    </w:p>
    <w:p w:rsidR="002F7DDD" w:rsidRPr="00804D31" w:rsidRDefault="002F7DDD" w:rsidP="00804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D31">
        <w:rPr>
          <w:rFonts w:ascii="Times New Roman" w:hAnsi="Times New Roman" w:cs="Times New Roman"/>
          <w:sz w:val="24"/>
          <w:szCs w:val="24"/>
        </w:rPr>
        <w:t>Используя опыт стран-лидеров, можно выделить эффективные практики, способствующие повышению уровня функциональной грамотности обучающихся.</w:t>
      </w:r>
    </w:p>
    <w:p w:rsidR="002F7DDD" w:rsidRPr="00804D31" w:rsidRDefault="002F7DDD" w:rsidP="00804D3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31">
        <w:rPr>
          <w:rFonts w:ascii="Times New Roman" w:hAnsi="Times New Roman" w:cs="Times New Roman"/>
          <w:sz w:val="24"/>
          <w:szCs w:val="24"/>
        </w:rPr>
        <w:t xml:space="preserve">Технология </w:t>
      </w:r>
      <w:proofErr w:type="spellStart"/>
      <w:r w:rsidRPr="00804D31">
        <w:rPr>
          <w:rFonts w:ascii="Times New Roman" w:hAnsi="Times New Roman" w:cs="Times New Roman"/>
          <w:sz w:val="24"/>
          <w:szCs w:val="24"/>
        </w:rPr>
        <w:t>разноуровневого</w:t>
      </w:r>
      <w:proofErr w:type="spellEnd"/>
      <w:r w:rsidRPr="00804D31">
        <w:rPr>
          <w:rFonts w:ascii="Times New Roman" w:hAnsi="Times New Roman" w:cs="Times New Roman"/>
          <w:sz w:val="24"/>
          <w:szCs w:val="24"/>
        </w:rPr>
        <w:t xml:space="preserve"> обучения</w:t>
      </w:r>
    </w:p>
    <w:p w:rsidR="002F7DDD" w:rsidRPr="00804D31" w:rsidRDefault="002F7DDD" w:rsidP="00804D3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31">
        <w:rPr>
          <w:rFonts w:ascii="Times New Roman" w:hAnsi="Times New Roman" w:cs="Times New Roman"/>
          <w:sz w:val="24"/>
          <w:szCs w:val="24"/>
        </w:rPr>
        <w:t>Технология обучения в сотрудничестве</w:t>
      </w:r>
    </w:p>
    <w:p w:rsidR="002F7DDD" w:rsidRPr="00804D31" w:rsidRDefault="002F7DDD" w:rsidP="00804D3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31">
        <w:rPr>
          <w:rFonts w:ascii="Times New Roman" w:hAnsi="Times New Roman" w:cs="Times New Roman"/>
          <w:sz w:val="24"/>
          <w:szCs w:val="24"/>
        </w:rPr>
        <w:t>Технология   проблемного обучения</w:t>
      </w:r>
    </w:p>
    <w:p w:rsidR="002F7DDD" w:rsidRPr="00804D31" w:rsidRDefault="002F7DDD" w:rsidP="00804D3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31">
        <w:rPr>
          <w:rFonts w:ascii="Times New Roman" w:hAnsi="Times New Roman" w:cs="Times New Roman"/>
          <w:sz w:val="24"/>
          <w:szCs w:val="24"/>
        </w:rPr>
        <w:t>Проектное обучение</w:t>
      </w:r>
    </w:p>
    <w:p w:rsidR="002F7DDD" w:rsidRPr="00804D31" w:rsidRDefault="002F7DDD" w:rsidP="00804D3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31">
        <w:rPr>
          <w:rFonts w:ascii="Times New Roman" w:hAnsi="Times New Roman" w:cs="Times New Roman"/>
          <w:sz w:val="24"/>
          <w:szCs w:val="24"/>
        </w:rPr>
        <w:t>Технология обучения с помощью опорных схем и опорных сигналов </w:t>
      </w:r>
    </w:p>
    <w:p w:rsidR="002F7DDD" w:rsidRPr="00804D31" w:rsidRDefault="002F7DDD" w:rsidP="00804D3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31">
        <w:rPr>
          <w:rFonts w:ascii="Times New Roman" w:hAnsi="Times New Roman" w:cs="Times New Roman"/>
          <w:sz w:val="24"/>
          <w:szCs w:val="24"/>
        </w:rPr>
        <w:t>Игровая технология</w:t>
      </w:r>
    </w:p>
    <w:p w:rsidR="002F7DDD" w:rsidRPr="00804D31" w:rsidRDefault="002F7DDD" w:rsidP="00804D3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D31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804D31">
        <w:rPr>
          <w:rFonts w:ascii="Times New Roman" w:hAnsi="Times New Roman" w:cs="Times New Roman"/>
          <w:sz w:val="24"/>
          <w:szCs w:val="24"/>
        </w:rPr>
        <w:t xml:space="preserve">  технологии</w:t>
      </w:r>
    </w:p>
    <w:p w:rsidR="002F7DDD" w:rsidRPr="00804D31" w:rsidRDefault="002F7DDD" w:rsidP="00804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D31">
        <w:rPr>
          <w:rFonts w:ascii="Times New Roman" w:hAnsi="Times New Roman" w:cs="Times New Roman"/>
          <w:sz w:val="24"/>
          <w:szCs w:val="24"/>
        </w:rPr>
        <w:t>В вопросе формирования функциональной грамотности можно выделить, по крайней мере, два направления. Первое – это ежедневная работа учителя в рамках учебного процесса. Например, формирование читательской грамотности - каждый параграф учебника – это новый для ученика текст, к которому учитель должен построить группу вопросов/заданий разного уровня сложности, формирующих различные умения: находить в тексте информацию и формулировать выводы, интерпретировать информацию и применять её в новых ситуациях, в том числе, не рассмотренных в учебнике. Таким образом, процесс формирования функциональной грамотности не может быть набором отдельных уроков или набором отдельных заданий, этот процесс логично и системно должен быть «вшит» в учебную программу как обязательная составляющая. Вторым направлением формирования функциональной грамотности является дополнительное и предпрофессиональное образование для школьников</w:t>
      </w:r>
      <w:r w:rsidR="00D55C78" w:rsidRPr="00804D31">
        <w:rPr>
          <w:rFonts w:ascii="Times New Roman" w:hAnsi="Times New Roman" w:cs="Times New Roman"/>
          <w:sz w:val="24"/>
          <w:szCs w:val="24"/>
        </w:rPr>
        <w:t>.</w:t>
      </w:r>
    </w:p>
    <w:p w:rsidR="00D55C78" w:rsidRPr="00804D31" w:rsidRDefault="00D55C78" w:rsidP="00804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D31">
        <w:rPr>
          <w:rFonts w:ascii="Times New Roman" w:hAnsi="Times New Roman" w:cs="Times New Roman"/>
          <w:sz w:val="24"/>
          <w:szCs w:val="24"/>
        </w:rPr>
        <w:t xml:space="preserve">На уроках математики формируются математическая и читательская грамотность. Математическая грамотность способствует активному применению математики для решения возникающих в повседневной жизни проблем. Это выражается в умении решать практические задачи из повседневной жизни. </w:t>
      </w:r>
    </w:p>
    <w:p w:rsidR="00D55C78" w:rsidRPr="00804D31" w:rsidRDefault="00D55C78" w:rsidP="00804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D31">
        <w:rPr>
          <w:rFonts w:ascii="Times New Roman" w:hAnsi="Times New Roman" w:cs="Times New Roman"/>
          <w:sz w:val="24"/>
          <w:szCs w:val="24"/>
        </w:rPr>
        <w:t>Содержание заданий основано на предметных результатах освоения школьной программы. Основное содержание обучения на уровне начальной школы в образовательной примерной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 Математическое содержание обучения на уровне основной и старшей школы, кроме уже изученных в курсе начальной школы, затрагивает такие области содержания обучения как «Изменения и зависимость» (зависимость между переменными, временные и постоянные связи, математическое моделирование), «Пространство и форма» (геометрические формы, пространственная визуализация), «Неопределенность и данные» (вероятностные и статистические явления, работа с информацией, научное прогнозирование), «Количество» (интерпретация данных, понимание единиц измерения, использование арифметического мышления).</w:t>
      </w:r>
    </w:p>
    <w:p w:rsidR="00804D31" w:rsidRPr="00804D31" w:rsidRDefault="00804D31" w:rsidP="00804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D31">
        <w:rPr>
          <w:rFonts w:ascii="Times New Roman" w:hAnsi="Times New Roman" w:cs="Times New Roman"/>
          <w:sz w:val="24"/>
          <w:szCs w:val="24"/>
        </w:rPr>
        <w:lastRenderedPageBreak/>
        <w:t>Структура заданий для формирования и оценки математической грамотности</w:t>
      </w:r>
    </w:p>
    <w:p w:rsidR="00804D31" w:rsidRPr="00804D31" w:rsidRDefault="00804D31" w:rsidP="00804D3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31">
        <w:rPr>
          <w:rFonts w:ascii="Times New Roman" w:hAnsi="Times New Roman" w:cs="Times New Roman"/>
          <w:sz w:val="24"/>
          <w:szCs w:val="24"/>
        </w:rPr>
        <w:t>Контекст (личная и общественная жизнь, профессиональная и научная деятельность</w:t>
      </w:r>
      <w:proofErr w:type="gramStart"/>
      <w:r w:rsidRPr="00804D31">
        <w:rPr>
          <w:rFonts w:ascii="Times New Roman" w:hAnsi="Times New Roman" w:cs="Times New Roman"/>
          <w:sz w:val="24"/>
          <w:szCs w:val="24"/>
        </w:rPr>
        <w:t>),в</w:t>
      </w:r>
      <w:proofErr w:type="gramEnd"/>
      <w:r w:rsidRPr="00804D31">
        <w:rPr>
          <w:rFonts w:ascii="Times New Roman" w:hAnsi="Times New Roman" w:cs="Times New Roman"/>
          <w:sz w:val="24"/>
          <w:szCs w:val="24"/>
        </w:rPr>
        <w:t xml:space="preserve"> котором представлена проблема.</w:t>
      </w:r>
    </w:p>
    <w:p w:rsidR="00804D31" w:rsidRPr="00804D31" w:rsidRDefault="00804D31" w:rsidP="00804D3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31">
        <w:rPr>
          <w:rFonts w:ascii="Times New Roman" w:hAnsi="Times New Roman" w:cs="Times New Roman"/>
          <w:sz w:val="24"/>
          <w:szCs w:val="24"/>
        </w:rPr>
        <w:t xml:space="preserve">Математическое содержание, которое используется в тестовых заданиях </w:t>
      </w:r>
    </w:p>
    <w:p w:rsidR="00804D31" w:rsidRPr="00804D31" w:rsidRDefault="00804D31" w:rsidP="00804D3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31">
        <w:rPr>
          <w:rFonts w:ascii="Times New Roman" w:hAnsi="Times New Roman" w:cs="Times New Roman"/>
          <w:sz w:val="24"/>
          <w:szCs w:val="24"/>
        </w:rPr>
        <w:t>Когнитивные процессы (мыслительная деятельность), которые описывают, что делает ученик, чтобы связать контекст, в котором представлена проблема, с математикой, необходимой для её решения</w:t>
      </w:r>
    </w:p>
    <w:p w:rsidR="00804D31" w:rsidRDefault="00804D31" w:rsidP="00804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показаны примеры таких заданий.</w:t>
      </w:r>
    </w:p>
    <w:tbl>
      <w:tblPr>
        <w:tblW w:w="15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8"/>
        <w:gridCol w:w="7446"/>
        <w:gridCol w:w="2179"/>
        <w:gridCol w:w="2518"/>
        <w:gridCol w:w="2608"/>
      </w:tblGrid>
      <w:tr w:rsidR="00135C09" w:rsidRPr="00135C09" w:rsidTr="00135C09">
        <w:trPr>
          <w:jc w:val="center"/>
        </w:trPr>
        <w:tc>
          <w:tcPr>
            <w:tcW w:w="858" w:type="dxa"/>
          </w:tcPr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446" w:type="dxa"/>
          </w:tcPr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задания</w:t>
            </w:r>
          </w:p>
        </w:tc>
        <w:tc>
          <w:tcPr>
            <w:tcW w:w="2179" w:type="dxa"/>
          </w:tcPr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задания</w:t>
            </w:r>
          </w:p>
        </w:tc>
        <w:tc>
          <w:tcPr>
            <w:tcW w:w="2518" w:type="dxa"/>
          </w:tcPr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Комментарии по решению задания</w:t>
            </w:r>
          </w:p>
        </w:tc>
        <w:tc>
          <w:tcPr>
            <w:tcW w:w="2608" w:type="dxa"/>
          </w:tcPr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оценивая</w:t>
            </w:r>
          </w:p>
        </w:tc>
      </w:tr>
      <w:tr w:rsidR="00135C09" w:rsidRPr="00135C09" w:rsidTr="00135C09">
        <w:trPr>
          <w:jc w:val="center"/>
        </w:trPr>
        <w:tc>
          <w:tcPr>
            <w:tcW w:w="858" w:type="dxa"/>
          </w:tcPr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C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46" w:type="dxa"/>
          </w:tcPr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C0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63618BC" wp14:editId="045FBE4A">
                  <wp:extent cx="4589780" cy="2527300"/>
                  <wp:effectExtent l="0" t="0" r="127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26297" t="35063" r="21459" b="26261"/>
                          <a:stretch/>
                        </pic:blipFill>
                        <pic:spPr bwMode="auto">
                          <a:xfrm>
                            <a:off x="0" y="0"/>
                            <a:ext cx="4613571" cy="2540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dxa"/>
          </w:tcPr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5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Контекст:</w:t>
            </w:r>
          </w:p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C09">
              <w:rPr>
                <w:rFonts w:ascii="Times New Roman" w:hAnsi="Times New Roman" w:cs="Times New Roman"/>
                <w:sz w:val="24"/>
                <w:szCs w:val="24"/>
              </w:rPr>
              <w:t>Личный</w:t>
            </w:r>
          </w:p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5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Математическое содержание:</w:t>
            </w:r>
          </w:p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C09">
              <w:rPr>
                <w:rFonts w:ascii="Times New Roman" w:hAnsi="Times New Roman" w:cs="Times New Roman"/>
                <w:sz w:val="24"/>
                <w:szCs w:val="24"/>
              </w:rPr>
              <w:t>Изменения и зависимости</w:t>
            </w:r>
          </w:p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5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Когнитивные процессы: </w:t>
            </w:r>
          </w:p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C09">
              <w:rPr>
                <w:rFonts w:ascii="Times New Roman" w:hAnsi="Times New Roman" w:cs="Times New Roman"/>
                <w:sz w:val="24"/>
                <w:szCs w:val="24"/>
              </w:rPr>
              <w:t>Интерпретировать/ оценивать</w:t>
            </w:r>
          </w:p>
        </w:tc>
        <w:tc>
          <w:tcPr>
            <w:tcW w:w="2518" w:type="dxa"/>
          </w:tcPr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C09">
              <w:rPr>
                <w:rFonts w:ascii="Times New Roman" w:hAnsi="Times New Roman" w:cs="Times New Roman"/>
                <w:sz w:val="24"/>
                <w:szCs w:val="24"/>
              </w:rPr>
              <w:t>В первую очередь, смотря на таблицу, обучающийся должен определить, что у туриста всего 10 часов.</w:t>
            </w:r>
          </w:p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C09">
              <w:rPr>
                <w:rFonts w:ascii="Times New Roman" w:hAnsi="Times New Roman" w:cs="Times New Roman"/>
                <w:sz w:val="24"/>
                <w:szCs w:val="24"/>
              </w:rPr>
              <w:t>Затем, учитывая это время, условие о 3-х разных экскурсиях, обучающийся приходит к выводу, что можно составить 2 варианта 15 и 24</w:t>
            </w:r>
          </w:p>
        </w:tc>
        <w:tc>
          <w:tcPr>
            <w:tcW w:w="2608" w:type="dxa"/>
          </w:tcPr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5C09">
              <w:rPr>
                <w:rFonts w:ascii="Times New Roman" w:hAnsi="Times New Roman" w:cs="Times New Roman"/>
                <w:sz w:val="24"/>
                <w:szCs w:val="24"/>
              </w:rPr>
              <w:t xml:space="preserve">В этом задании оценивается </w:t>
            </w:r>
            <w:r w:rsidRPr="00135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строить и исследовать простейшие математические модели.</w:t>
            </w:r>
          </w:p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Задание оценивается полностью, если предложены оба варианта (2 балла). Ели предложен один вариант, то задание оценивается частично (1 балл).</w:t>
            </w:r>
          </w:p>
        </w:tc>
      </w:tr>
      <w:tr w:rsidR="00135C09" w:rsidRPr="00135C09" w:rsidTr="00135C09">
        <w:trPr>
          <w:jc w:val="center"/>
        </w:trPr>
        <w:tc>
          <w:tcPr>
            <w:tcW w:w="858" w:type="dxa"/>
          </w:tcPr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C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6" w:type="dxa"/>
          </w:tcPr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35C09">
              <w:rPr>
                <w:rFonts w:ascii="Times New Roman" w:hAnsi="Times New Roman" w:cs="Times New Roman"/>
                <w:noProof/>
                <w:sz w:val="24"/>
                <w:szCs w:val="24"/>
              </w:rPr>
              <w:t>Коля весит 45кг, Дима – на 7 кг меньше, а Вася – на 5кг больше Димы. Смогут ли эти ребята подняться одновременно на лифте, если этот лифт за один раз поднимает не больше 120 кг.</w:t>
            </w:r>
          </w:p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79" w:type="dxa"/>
          </w:tcPr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5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Контекст:</w:t>
            </w:r>
          </w:p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C09">
              <w:rPr>
                <w:rFonts w:ascii="Times New Roman" w:hAnsi="Times New Roman" w:cs="Times New Roman"/>
                <w:sz w:val="24"/>
                <w:szCs w:val="24"/>
              </w:rPr>
              <w:t>общественный</w:t>
            </w:r>
          </w:p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5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Математическое содержание:</w:t>
            </w:r>
          </w:p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C09">
              <w:rPr>
                <w:rFonts w:ascii="Times New Roman" w:hAnsi="Times New Roman" w:cs="Times New Roman"/>
                <w:sz w:val="24"/>
                <w:szCs w:val="24"/>
              </w:rPr>
              <w:t>Изменения и зависимости</w:t>
            </w:r>
          </w:p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5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Когнитивные процессы: </w:t>
            </w:r>
          </w:p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5C09">
              <w:rPr>
                <w:rFonts w:ascii="Times New Roman" w:hAnsi="Times New Roman" w:cs="Times New Roman"/>
                <w:sz w:val="24"/>
                <w:szCs w:val="24"/>
              </w:rPr>
              <w:t>Интерпретировать/ оценивать</w:t>
            </w:r>
          </w:p>
        </w:tc>
        <w:tc>
          <w:tcPr>
            <w:tcW w:w="2518" w:type="dxa"/>
          </w:tcPr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C09">
              <w:rPr>
                <w:rFonts w:ascii="Times New Roman" w:hAnsi="Times New Roman" w:cs="Times New Roman"/>
                <w:sz w:val="24"/>
                <w:szCs w:val="24"/>
              </w:rPr>
              <w:t>Коля – 45 кг</w:t>
            </w:r>
          </w:p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C09">
              <w:rPr>
                <w:rFonts w:ascii="Times New Roman" w:hAnsi="Times New Roman" w:cs="Times New Roman"/>
                <w:sz w:val="24"/>
                <w:szCs w:val="24"/>
              </w:rPr>
              <w:t>Дима – 45-7=38 кг</w:t>
            </w:r>
          </w:p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C09">
              <w:rPr>
                <w:rFonts w:ascii="Times New Roman" w:hAnsi="Times New Roman" w:cs="Times New Roman"/>
                <w:sz w:val="24"/>
                <w:szCs w:val="24"/>
              </w:rPr>
              <w:t>Вася – 38+5=43 кг</w:t>
            </w:r>
          </w:p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C09">
              <w:rPr>
                <w:rFonts w:ascii="Times New Roman" w:hAnsi="Times New Roman" w:cs="Times New Roman"/>
                <w:sz w:val="24"/>
                <w:szCs w:val="24"/>
              </w:rPr>
              <w:t>45+38+43=126 кг-общий вес ребят</w:t>
            </w:r>
          </w:p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C09">
              <w:rPr>
                <w:rFonts w:ascii="Times New Roman" w:hAnsi="Times New Roman" w:cs="Times New Roman"/>
                <w:sz w:val="24"/>
                <w:szCs w:val="24"/>
              </w:rPr>
              <w:t>Вес лифта 120 кг</w:t>
            </w:r>
          </w:p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C09">
              <w:rPr>
                <w:rFonts w:ascii="Times New Roman" w:hAnsi="Times New Roman" w:cs="Times New Roman"/>
                <w:sz w:val="24"/>
                <w:szCs w:val="24"/>
              </w:rPr>
              <w:t>Ответ: не могут</w:t>
            </w:r>
          </w:p>
        </w:tc>
        <w:tc>
          <w:tcPr>
            <w:tcW w:w="2608" w:type="dxa"/>
          </w:tcPr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5C09">
              <w:rPr>
                <w:rFonts w:ascii="Times New Roman" w:hAnsi="Times New Roman" w:cs="Times New Roman"/>
                <w:sz w:val="24"/>
                <w:szCs w:val="24"/>
              </w:rPr>
              <w:t xml:space="preserve">В этом задании оценивается </w:t>
            </w:r>
            <w:r w:rsidRPr="00135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</w:t>
            </w:r>
          </w:p>
          <w:p w:rsidR="00135C09" w:rsidRPr="00135C09" w:rsidRDefault="00135C09" w:rsidP="00135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Задание оценивается в 1 балл, если представлено решение и сделан вывод.</w:t>
            </w:r>
          </w:p>
        </w:tc>
      </w:tr>
    </w:tbl>
    <w:p w:rsidR="00135C09" w:rsidRPr="00135C09" w:rsidRDefault="00135C09" w:rsidP="00135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C09">
        <w:rPr>
          <w:rFonts w:ascii="Times New Roman" w:hAnsi="Times New Roman" w:cs="Times New Roman"/>
          <w:sz w:val="24"/>
          <w:szCs w:val="24"/>
        </w:rPr>
        <w:t xml:space="preserve">Для диагностики уровня </w:t>
      </w:r>
      <w:proofErr w:type="spellStart"/>
      <w:r w:rsidRPr="00135C0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35C09">
        <w:rPr>
          <w:rFonts w:ascii="Times New Roman" w:hAnsi="Times New Roman" w:cs="Times New Roman"/>
          <w:sz w:val="24"/>
          <w:szCs w:val="24"/>
        </w:rPr>
        <w:t xml:space="preserve"> математической грамотности также используются различные задания. Вот их ключевые особенности: </w:t>
      </w:r>
    </w:p>
    <w:p w:rsidR="00135C09" w:rsidRPr="00135C09" w:rsidRDefault="00135C09" w:rsidP="00135C09">
      <w:pPr>
        <w:pStyle w:val="a4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C09">
        <w:rPr>
          <w:rFonts w:ascii="Times New Roman" w:hAnsi="Times New Roman" w:cs="Times New Roman"/>
          <w:sz w:val="24"/>
          <w:szCs w:val="24"/>
        </w:rPr>
        <w:t>Контекстом задания является реальная жизненная ситуация, понятная учащемуся;</w:t>
      </w:r>
    </w:p>
    <w:p w:rsidR="00135C09" w:rsidRPr="00135C09" w:rsidRDefault="00135C09" w:rsidP="00135C09">
      <w:pPr>
        <w:pStyle w:val="a4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C09">
        <w:rPr>
          <w:rFonts w:ascii="Times New Roman" w:hAnsi="Times New Roman" w:cs="Times New Roman"/>
          <w:sz w:val="24"/>
          <w:szCs w:val="24"/>
        </w:rPr>
        <w:t xml:space="preserve">В ходе обучения делается упор на развитие нелинейного, нешаблонного мышления, решение нестандартных проблем. </w:t>
      </w:r>
    </w:p>
    <w:p w:rsidR="00135C09" w:rsidRPr="00135C09" w:rsidRDefault="00135C09" w:rsidP="00135C09">
      <w:pPr>
        <w:pStyle w:val="a4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C09">
        <w:rPr>
          <w:rFonts w:ascii="Times New Roman" w:hAnsi="Times New Roman" w:cs="Times New Roman"/>
          <w:sz w:val="24"/>
          <w:szCs w:val="24"/>
        </w:rPr>
        <w:t>Метапредметность</w:t>
      </w:r>
      <w:proofErr w:type="spellEnd"/>
      <w:r w:rsidRPr="00135C09">
        <w:rPr>
          <w:rFonts w:ascii="Times New Roman" w:hAnsi="Times New Roman" w:cs="Times New Roman"/>
          <w:sz w:val="24"/>
          <w:szCs w:val="24"/>
        </w:rPr>
        <w:t xml:space="preserve"> обучения становится важнейшим компонентом образовательного процесса: одна компетенция развивается в контексте максимально возможном количестве предметных областей. </w:t>
      </w:r>
    </w:p>
    <w:p w:rsidR="00135C09" w:rsidRPr="00135C09" w:rsidRDefault="00135C09" w:rsidP="00135C09">
      <w:pPr>
        <w:pStyle w:val="a4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C09">
        <w:rPr>
          <w:rFonts w:ascii="Times New Roman" w:hAnsi="Times New Roman" w:cs="Times New Roman"/>
          <w:sz w:val="24"/>
          <w:szCs w:val="24"/>
        </w:rPr>
        <w:t xml:space="preserve">Учащиеся не только получают знания, но и развивают навыки, связанные с применением теоретического предметного материала на практике. </w:t>
      </w:r>
    </w:p>
    <w:p w:rsidR="00135C09" w:rsidRPr="00135C09" w:rsidRDefault="00135C09" w:rsidP="00135C09">
      <w:pPr>
        <w:pStyle w:val="a4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C09">
        <w:rPr>
          <w:rFonts w:ascii="Times New Roman" w:hAnsi="Times New Roman" w:cs="Times New Roman"/>
          <w:sz w:val="24"/>
          <w:szCs w:val="24"/>
        </w:rPr>
        <w:lastRenderedPageBreak/>
        <w:t xml:space="preserve">Широко используются графические материалы и прием перевода одного вида информации в другой. </w:t>
      </w:r>
    </w:p>
    <w:p w:rsidR="00135C09" w:rsidRPr="00135C09" w:rsidRDefault="00135C09" w:rsidP="00135C09">
      <w:pPr>
        <w:pStyle w:val="a4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35C09">
        <w:rPr>
          <w:rFonts w:ascii="Times New Roman" w:hAnsi="Times New Roman" w:cs="Times New Roman"/>
          <w:sz w:val="24"/>
          <w:szCs w:val="24"/>
        </w:rPr>
        <w:t xml:space="preserve">В заданиях часто присутствуют лишние, избыточные данные, что требует от учащихся развитых навыков анализа, интерпретации и оценки информации. </w:t>
      </w:r>
    </w:p>
    <w:p w:rsidR="00804D31" w:rsidRDefault="00135C09" w:rsidP="00135C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5C09">
        <w:rPr>
          <w:rFonts w:ascii="Times New Roman" w:hAnsi="Times New Roman" w:cs="Times New Roman"/>
          <w:sz w:val="24"/>
          <w:szCs w:val="24"/>
        </w:rPr>
        <w:t>Задания на оценку математической грамотности отличаются комплексным подходом: в рамках мониторинга проверяется готовность использовать мыслительные процессы, владение математическим инструментарием в рамках возможностей конкретной возрастной группы и способность решать учебные и практические математические задачи, которые основаны на событиях из повседневной жизни.</w:t>
      </w:r>
    </w:p>
    <w:p w:rsidR="00135C09" w:rsidRDefault="00135C09" w:rsidP="00135C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35C09" w:rsidRPr="00135C09" w:rsidRDefault="00135C09" w:rsidP="00135C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5C09">
        <w:rPr>
          <w:rFonts w:ascii="Times New Roman" w:hAnsi="Times New Roman" w:cs="Times New Roman"/>
          <w:sz w:val="24"/>
          <w:szCs w:val="24"/>
        </w:rPr>
        <w:t>Список использованных источников:</w:t>
      </w:r>
    </w:p>
    <w:p w:rsidR="00135C09" w:rsidRPr="00135C09" w:rsidRDefault="00135C09" w:rsidP="00135C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5C09">
        <w:rPr>
          <w:rFonts w:ascii="Times New Roman" w:hAnsi="Times New Roman" w:cs="Times New Roman"/>
          <w:sz w:val="24"/>
          <w:szCs w:val="24"/>
        </w:rPr>
        <w:t xml:space="preserve">1. Формирование и оценка функциональной грамотности учащихся: </w:t>
      </w:r>
      <w:proofErr w:type="spellStart"/>
      <w:r w:rsidRPr="00135C09">
        <w:rPr>
          <w:rFonts w:ascii="Times New Roman" w:hAnsi="Times New Roman" w:cs="Times New Roman"/>
          <w:sz w:val="24"/>
          <w:szCs w:val="24"/>
        </w:rPr>
        <w:t>Учебнометодическое</w:t>
      </w:r>
      <w:proofErr w:type="spellEnd"/>
      <w:r w:rsidRPr="00135C09">
        <w:rPr>
          <w:rFonts w:ascii="Times New Roman" w:hAnsi="Times New Roman" w:cs="Times New Roman"/>
          <w:sz w:val="24"/>
          <w:szCs w:val="24"/>
        </w:rPr>
        <w:t xml:space="preserve"> пособие / И. Ю. Алексашина, О. А. </w:t>
      </w:r>
      <w:proofErr w:type="spellStart"/>
      <w:r w:rsidRPr="00135C09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Pr="00135C09">
        <w:rPr>
          <w:rFonts w:ascii="Times New Roman" w:hAnsi="Times New Roman" w:cs="Times New Roman"/>
          <w:sz w:val="24"/>
          <w:szCs w:val="24"/>
        </w:rPr>
        <w:t>, Ю. П. Киселев; науч. ред. И. Ю. Алексашина. — СПб</w:t>
      </w:r>
      <w:proofErr w:type="gramStart"/>
      <w:r w:rsidRPr="00135C09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135C09">
        <w:rPr>
          <w:rFonts w:ascii="Times New Roman" w:hAnsi="Times New Roman" w:cs="Times New Roman"/>
          <w:sz w:val="24"/>
          <w:szCs w:val="24"/>
        </w:rPr>
        <w:t xml:space="preserve"> КАРО, 2019. — 160 с. — (Петербургский вектор введения ФГОС ООО).</w:t>
      </w:r>
    </w:p>
    <w:p w:rsidR="00135C09" w:rsidRPr="00135C09" w:rsidRDefault="00135C09" w:rsidP="00135C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5C09">
        <w:rPr>
          <w:rFonts w:ascii="Times New Roman" w:hAnsi="Times New Roman" w:cs="Times New Roman"/>
          <w:sz w:val="24"/>
          <w:szCs w:val="24"/>
        </w:rPr>
        <w:t xml:space="preserve"> 2. Е. </w:t>
      </w:r>
      <w:proofErr w:type="spellStart"/>
      <w:r w:rsidRPr="00135C09">
        <w:rPr>
          <w:rFonts w:ascii="Times New Roman" w:hAnsi="Times New Roman" w:cs="Times New Roman"/>
          <w:sz w:val="24"/>
          <w:szCs w:val="24"/>
        </w:rPr>
        <w:t>Камзеева</w:t>
      </w:r>
      <w:proofErr w:type="spellEnd"/>
      <w:r w:rsidRPr="00135C09">
        <w:rPr>
          <w:rFonts w:ascii="Times New Roman" w:hAnsi="Times New Roman" w:cs="Times New Roman"/>
          <w:sz w:val="24"/>
          <w:szCs w:val="24"/>
        </w:rPr>
        <w:t xml:space="preserve"> (начальник отдела МЦКО): «Функциональная грамотность школьников – важный показатель качества образования» </w:t>
      </w:r>
      <w:hyperlink r:id="rId6" w:history="1">
        <w:r w:rsidRPr="00135C09">
          <w:rPr>
            <w:rStyle w:val="a5"/>
            <w:rFonts w:ascii="Times New Roman" w:hAnsi="Times New Roman" w:cs="Times New Roman"/>
            <w:sz w:val="24"/>
            <w:szCs w:val="24"/>
          </w:rPr>
          <w:t>https://mcko.ru/articles/2264</w:t>
        </w:r>
      </w:hyperlink>
      <w:r w:rsidRPr="00135C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C09" w:rsidRPr="00135C09" w:rsidRDefault="00135C09" w:rsidP="00135C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5C09">
        <w:rPr>
          <w:rFonts w:ascii="Times New Roman" w:hAnsi="Times New Roman" w:cs="Times New Roman"/>
          <w:sz w:val="24"/>
          <w:szCs w:val="24"/>
        </w:rPr>
        <w:t>3. Результаты всероссийского исследования программы «Я Учитель» https://yandex.ru/promo/education/articles/kompetencii-uchitelej-issledovanieyandeksa</w:t>
      </w:r>
    </w:p>
    <w:sectPr w:rsidR="00135C09" w:rsidRPr="00135C09" w:rsidSect="00804D31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B1AF8"/>
    <w:multiLevelType w:val="hybridMultilevel"/>
    <w:tmpl w:val="A76684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D64524"/>
    <w:multiLevelType w:val="hybridMultilevel"/>
    <w:tmpl w:val="6BFE5F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C7D61"/>
    <w:multiLevelType w:val="hybridMultilevel"/>
    <w:tmpl w:val="9A44A3FC"/>
    <w:lvl w:ilvl="0" w:tplc="0419000D">
      <w:start w:val="1"/>
      <w:numFmt w:val="bullet"/>
      <w:lvlText w:val=""/>
      <w:lvlJc w:val="left"/>
      <w:pPr>
        <w:ind w:left="2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">
    <w:nsid w:val="24A809F4"/>
    <w:multiLevelType w:val="hybridMultilevel"/>
    <w:tmpl w:val="22F8E06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444EF8BA">
      <w:numFmt w:val="bullet"/>
      <w:lvlText w:val=""/>
      <w:lvlJc w:val="left"/>
      <w:pPr>
        <w:ind w:left="2149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9DE3AAA"/>
    <w:multiLevelType w:val="hybridMultilevel"/>
    <w:tmpl w:val="AF8401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8A7151"/>
    <w:multiLevelType w:val="hybridMultilevel"/>
    <w:tmpl w:val="0EFA1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496EE9"/>
    <w:multiLevelType w:val="hybridMultilevel"/>
    <w:tmpl w:val="4106F35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DD"/>
    <w:rsid w:val="00135C09"/>
    <w:rsid w:val="002F7DDD"/>
    <w:rsid w:val="0030543D"/>
    <w:rsid w:val="0060231E"/>
    <w:rsid w:val="00710395"/>
    <w:rsid w:val="00804D31"/>
    <w:rsid w:val="00D55C78"/>
    <w:rsid w:val="00E1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2F543-E8FB-4339-BD46-9ADCC63E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D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F7DDD"/>
    <w:pPr>
      <w:ind w:left="720"/>
      <w:contextualSpacing/>
    </w:pPr>
  </w:style>
  <w:style w:type="paragraph" w:customStyle="1" w:styleId="Default">
    <w:name w:val="Default"/>
    <w:rsid w:val="00804D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135C0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2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2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ko.ru/articles/226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Голованова</dc:creator>
  <cp:lastModifiedBy>dell</cp:lastModifiedBy>
  <cp:revision>2</cp:revision>
  <dcterms:created xsi:type="dcterms:W3CDTF">2025-04-28T12:25:00Z</dcterms:created>
  <dcterms:modified xsi:type="dcterms:W3CDTF">2025-04-28T12:25:00Z</dcterms:modified>
</cp:coreProperties>
</file>