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ru-RU"/>
        </w:rPr>
        <w:t>Развитие</w:t>
      </w:r>
      <w:r>
        <w:rPr>
          <w:rFonts w:hint="default"/>
          <w:b/>
          <w:bCs/>
          <w:i/>
          <w:sz w:val="28"/>
          <w:szCs w:val="28"/>
          <w:lang w:val="ru-RU"/>
        </w:rPr>
        <w:t xml:space="preserve"> речи учащихся на основе пословиц и поговорок </w:t>
      </w:r>
      <w:r>
        <w:rPr>
          <w:b/>
          <w:bCs/>
          <w:i/>
          <w:sz w:val="28"/>
          <w:szCs w:val="28"/>
        </w:rPr>
        <w:t xml:space="preserve"> у младшего школьника         </w:t>
      </w:r>
    </w:p>
    <w:p>
      <w:pPr>
        <w:jc w:val="center"/>
        <w:rPr>
          <w:rFonts w:hint="default"/>
          <w:b/>
          <w:bCs/>
          <w:i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sz w:val="28"/>
          <w:szCs w:val="28"/>
        </w:rPr>
        <w:t>(в аспекте концепта числа</w:t>
      </w:r>
      <w:r>
        <w:rPr>
          <w:rFonts w:hint="default"/>
          <w:b/>
          <w:bCs/>
          <w:i/>
          <w:sz w:val="28"/>
          <w:szCs w:val="28"/>
          <w:lang w:val="ru-RU"/>
        </w:rPr>
        <w:t>)</w:t>
      </w:r>
    </w:p>
    <w:p>
      <w:pPr>
        <w:jc w:val="center"/>
        <w:rPr>
          <w:rFonts w:hint="default"/>
          <w:b/>
          <w:bCs/>
          <w:i/>
          <w:sz w:val="28"/>
          <w:szCs w:val="28"/>
          <w:lang w:val="ru-RU"/>
        </w:rPr>
      </w:pPr>
    </w:p>
    <w:p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 языкознании всё большую актуальность приобретают исследования этнолингвистического характера (Е.С. Кубрякова, А.А. Залевская, М.В. Пименова, В.В. Митрофанова, Ю.Г. Круглова, А.И. Соболева и др.). Изучаются проблемы взаимоотношения языка и культуры, языка и мифологии, языковой картины мира, этнокультурной лексики. </w:t>
      </w:r>
      <w:r>
        <w:rPr>
          <w:bCs/>
          <w:sz w:val="28"/>
          <w:szCs w:val="28"/>
        </w:rPr>
        <w:t>Отображая в процессе деятельности объективный мир, человек фиксирует результаты познания в словах. Совокупность этих знаний, запечатленных в  языковой форме, принято называть «языковой картиной мира». Формирование языковой картины мира младшего школьника одна из актуальных проблем современной лингводидактики (</w:t>
      </w:r>
      <w:r>
        <w:rPr>
          <w:sz w:val="28"/>
          <w:szCs w:val="28"/>
        </w:rPr>
        <w:t xml:space="preserve">Н.А. Каркачева, Т.П. Королева, </w:t>
      </w:r>
      <w:r>
        <w:rPr>
          <w:iCs/>
          <w:sz w:val="28"/>
          <w:szCs w:val="28"/>
        </w:rPr>
        <w:t>К.С. Карданова, Ю.В. Виньков и др.</w:t>
      </w:r>
      <w:r>
        <w:rPr>
          <w:bCs/>
          <w:sz w:val="28"/>
          <w:szCs w:val="28"/>
        </w:rPr>
        <w:t>).</w:t>
      </w:r>
      <w:r>
        <w:rPr>
          <w:sz w:val="28"/>
          <w:szCs w:val="28"/>
        </w:rPr>
        <w:t xml:space="preserve"> Нами предпринята попытка рассмотреть данную проблему на основе национально-культурной семантики, в частности, на примере символики чисел «три» и «семь». </w:t>
      </w:r>
    </w:p>
    <w:p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понятием “символика числа” подразумевается национально-культурная семантика чисел «три» и  «семь», зафиксированная в духовной культуре, мифологических представлениях, верованиях, обычаях и обрядах, устном народном творчестве, а также языке народа. Одним словом, числа рассматриваются не только как единицы языка, но и как единицы культуры. </w:t>
      </w:r>
    </w:p>
    <w:p>
      <w:pPr>
        <w:spacing w:line="240" w:lineRule="auto"/>
        <w:jc w:val="left"/>
        <w:rPr>
          <w:rFonts w:hint="default"/>
          <w:b/>
          <w:bCs/>
          <w:i/>
          <w:sz w:val="28"/>
          <w:szCs w:val="28"/>
          <w:lang w:val="ru-RU"/>
        </w:rPr>
      </w:pPr>
      <w:r>
        <w:rPr>
          <w:sz w:val="28"/>
          <w:szCs w:val="28"/>
        </w:rPr>
        <w:t>Проблема выявления, описания лексем с числовым показателем, где числа содержат богатую культурную семантику, имеют сакральную символику, и внедрения этого содержания в программу начальной школы для формирования языковой картины мира остается нерешенной.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20E7"/>
    <w:rsid w:val="7269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2024-09-12T05:31:00Z</dcterms:created>
  <dc:creator>Екатерина</dc:creator>
  <cp:lastModifiedBy>Екатерина</cp:lastModifiedBy>
  <dcterms:modified xsi:type="dcterms:W3CDTF">2024-09-12T05:39:58Z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B14D3628F3554785AB91425141184A9F_12</vt:lpwstr>
  </property>
</Properties>
</file>