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AB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276" w:lineRule="auto"/>
        <w:ind w:left="0" w:leftChars="0" w:firstLine="0" w:firstLineChars="0"/>
        <w:jc w:val="center"/>
        <w:textAlignment w:val="auto"/>
        <w:rPr>
          <w:rFonts w:hint="default"/>
          <w:sz w:val="28"/>
          <w:lang w:val="ru-RU"/>
        </w:rPr>
      </w:pPr>
      <w:r>
        <w:rPr>
          <w:sz w:val="28"/>
          <w:lang w:val="ru-RU"/>
        </w:rPr>
        <w:t>О</w:t>
      </w:r>
      <w:r>
        <w:rPr>
          <w:rFonts w:hint="default"/>
          <w:sz w:val="28"/>
          <w:lang w:val="ru-RU"/>
        </w:rPr>
        <w:t xml:space="preserve"> </w:t>
      </w:r>
      <w:bookmarkStart w:id="0" w:name="_GoBack"/>
      <w:bookmarkEnd w:id="0"/>
      <w:r>
        <w:rPr>
          <w:rFonts w:hint="default"/>
          <w:sz w:val="28"/>
          <w:lang w:val="ru-RU"/>
        </w:rPr>
        <w:t>реализации образовательного проекта «Ресурсный центр «Перспектива»</w:t>
      </w:r>
    </w:p>
    <w:p w14:paraId="1995A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276" w:lineRule="auto"/>
        <w:ind w:firstLine="709"/>
        <w:jc w:val="right"/>
        <w:textAlignment w:val="auto"/>
        <w:rPr>
          <w:rFonts w:hint="default"/>
          <w:i/>
          <w:iCs/>
          <w:sz w:val="24"/>
          <w:szCs w:val="24"/>
          <w:lang w:val="ru-RU"/>
        </w:rPr>
      </w:pPr>
      <w:r>
        <w:rPr>
          <w:rFonts w:hint="default"/>
          <w:i/>
          <w:iCs/>
          <w:sz w:val="24"/>
          <w:szCs w:val="24"/>
          <w:lang w:val="ru-RU"/>
        </w:rPr>
        <w:t>Педагог дополнительного образования МБОУ ДО СЮН НГО,</w:t>
      </w:r>
    </w:p>
    <w:p w14:paraId="77A2D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276" w:lineRule="auto"/>
        <w:ind w:firstLine="709"/>
        <w:jc w:val="right"/>
        <w:textAlignment w:val="auto"/>
        <w:rPr>
          <w:rFonts w:hint="default"/>
          <w:i/>
          <w:iCs/>
          <w:sz w:val="24"/>
          <w:szCs w:val="24"/>
          <w:lang w:val="ru-RU"/>
        </w:rPr>
      </w:pPr>
      <w:r>
        <w:rPr>
          <w:rFonts w:hint="default"/>
          <w:i/>
          <w:iCs/>
          <w:sz w:val="24"/>
          <w:szCs w:val="24"/>
          <w:lang w:val="ru-RU"/>
        </w:rPr>
        <w:t xml:space="preserve">Тумбаева Т.Ю., г. Невьянск </w:t>
      </w:r>
    </w:p>
    <w:p w14:paraId="24525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276" w:lineRule="auto"/>
        <w:ind w:firstLine="709"/>
        <w:textAlignment w:val="auto"/>
        <w:rPr>
          <w:sz w:val="28"/>
          <w:lang w:val="ru-RU"/>
        </w:rPr>
      </w:pPr>
    </w:p>
    <w:p w14:paraId="0106A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276" w:lineRule="auto"/>
        <w:ind w:firstLine="709"/>
        <w:textAlignment w:val="auto"/>
        <w:rPr>
          <w:sz w:val="28"/>
        </w:rPr>
      </w:pPr>
      <w:r>
        <w:rPr>
          <w:sz w:val="28"/>
          <w:lang w:val="ru-RU"/>
        </w:rPr>
        <w:t>С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2018 года на базе учреждения</w:t>
      </w:r>
      <w:r>
        <w:rPr>
          <w:rFonts w:hint="default"/>
          <w:sz w:val="28"/>
          <w:lang w:val="ru-RU"/>
        </w:rPr>
        <w:t xml:space="preserve"> дополнительного образования</w:t>
      </w:r>
      <w:r>
        <w:rPr>
          <w:sz w:val="28"/>
        </w:rPr>
        <w:t xml:space="preserve"> Станции юных натуралистов Н</w:t>
      </w:r>
      <w:r>
        <w:rPr>
          <w:sz w:val="28"/>
          <w:lang w:val="ru-RU"/>
        </w:rPr>
        <w:t>евьянского</w:t>
      </w:r>
      <w:r>
        <w:rPr>
          <w:rFonts w:hint="default"/>
          <w:sz w:val="28"/>
          <w:lang w:val="ru-RU"/>
        </w:rPr>
        <w:t xml:space="preserve"> городского округа </w:t>
      </w:r>
      <w:r>
        <w:rPr>
          <w:sz w:val="28"/>
        </w:rPr>
        <w:t>действует региональная инновационная базовая площадка Дворца молод</w:t>
      </w:r>
      <w:r>
        <w:rPr>
          <w:sz w:val="28"/>
          <w:lang w:val="ru-RU"/>
        </w:rPr>
        <w:t>ё</w:t>
      </w:r>
      <w:r>
        <w:rPr>
          <w:sz w:val="28"/>
        </w:rPr>
        <w:t xml:space="preserve">жи </w:t>
      </w:r>
      <w:r>
        <w:rPr>
          <w:sz w:val="28"/>
          <w:lang w:val="ru-RU"/>
        </w:rPr>
        <w:t>Свердловской</w:t>
      </w:r>
      <w:r>
        <w:rPr>
          <w:rFonts w:hint="default"/>
          <w:sz w:val="28"/>
          <w:lang w:val="ru-RU"/>
        </w:rPr>
        <w:t xml:space="preserve"> области </w:t>
      </w:r>
      <w:r>
        <w:rPr>
          <w:sz w:val="28"/>
        </w:rPr>
        <w:t>по естественнонаучному образованию и профориентационной деятельности. Тема образовательного проекта «Ресурсный центр «Перспектива» поддержки естественнонаучного творчества детей»</w:t>
      </w:r>
      <w:r>
        <w:rPr>
          <w:rFonts w:hint="default"/>
          <w:sz w:val="28"/>
          <w:lang w:val="ru-RU"/>
        </w:rPr>
        <w:t xml:space="preserve">. </w:t>
      </w:r>
      <w:r>
        <w:rPr>
          <w:sz w:val="28"/>
        </w:rPr>
        <w:t>Срок реализации проекта – 5 лет</w:t>
      </w:r>
      <w:r>
        <w:rPr>
          <w:rFonts w:hint="default"/>
          <w:sz w:val="28"/>
          <w:lang w:val="ru-RU"/>
        </w:rPr>
        <w:t>.</w:t>
      </w:r>
      <w:r>
        <w:rPr>
          <w:sz w:val="28"/>
        </w:rPr>
        <w:t xml:space="preserve"> </w:t>
      </w:r>
    </w:p>
    <w:p w14:paraId="52E11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276" w:lineRule="auto"/>
        <w:ind w:firstLine="709"/>
        <w:textAlignment w:val="auto"/>
        <w:rPr>
          <w:rFonts w:hint="default"/>
          <w:sz w:val="28"/>
          <w:lang w:val="ru-RU"/>
        </w:rPr>
      </w:pPr>
      <w:r>
        <w:rPr>
          <w:sz w:val="28"/>
        </w:rPr>
        <w:t>За истекши</w:t>
      </w:r>
      <w:r>
        <w:rPr>
          <w:sz w:val="28"/>
          <w:lang w:val="ru-RU"/>
        </w:rPr>
        <w:t>й</w:t>
      </w:r>
      <w:r>
        <w:rPr>
          <w:rFonts w:hint="default"/>
          <w:sz w:val="28"/>
          <w:lang w:val="ru-RU"/>
        </w:rPr>
        <w:t xml:space="preserve"> период</w:t>
      </w:r>
      <w:r>
        <w:rPr>
          <w:sz w:val="28"/>
        </w:rPr>
        <w:t xml:space="preserve"> </w:t>
      </w:r>
      <w:r>
        <w:rPr>
          <w:sz w:val="28"/>
          <w:lang w:val="ru-RU"/>
        </w:rPr>
        <w:t>лет</w:t>
      </w:r>
      <w:r>
        <w:rPr>
          <w:sz w:val="28"/>
        </w:rPr>
        <w:t xml:space="preserve"> мы прошли </w:t>
      </w:r>
      <w:r>
        <w:rPr>
          <w:sz w:val="28"/>
          <w:lang w:val="ru-RU"/>
        </w:rPr>
        <w:t>все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этап</w:t>
      </w:r>
      <w:r>
        <w:rPr>
          <w:sz w:val="28"/>
          <w:lang w:val="ru-RU"/>
        </w:rPr>
        <w:t>ы</w:t>
      </w:r>
      <w:r>
        <w:rPr>
          <w:sz w:val="28"/>
        </w:rPr>
        <w:t xml:space="preserve"> реализации проекта: нормативно-установочный</w:t>
      </w:r>
      <w:r>
        <w:rPr>
          <w:rFonts w:hint="default"/>
          <w:sz w:val="28"/>
          <w:lang w:val="ru-RU"/>
        </w:rPr>
        <w:t xml:space="preserve">, </w:t>
      </w:r>
      <w:r>
        <w:rPr>
          <w:sz w:val="28"/>
        </w:rPr>
        <w:t>практико-ориентированный</w:t>
      </w:r>
      <w:r>
        <w:rPr>
          <w:rFonts w:hint="default"/>
          <w:sz w:val="28"/>
          <w:lang w:val="ru-RU"/>
        </w:rPr>
        <w:t xml:space="preserve"> и </w:t>
      </w:r>
      <w:r>
        <w:rPr>
          <w:sz w:val="28"/>
        </w:rPr>
        <w:t>заключительный – аналитический</w:t>
      </w:r>
      <w:r>
        <w:rPr>
          <w:rFonts w:hint="default"/>
          <w:sz w:val="28"/>
          <w:lang w:val="ru-RU"/>
        </w:rPr>
        <w:t>.</w:t>
      </w:r>
      <w:r>
        <w:rPr>
          <w:sz w:val="28"/>
        </w:rPr>
        <w:t xml:space="preserve"> </w:t>
      </w:r>
      <w:r>
        <w:rPr>
          <w:sz w:val="28"/>
          <w:lang w:val="ru-RU"/>
        </w:rPr>
        <w:t>Подводя</w:t>
      </w:r>
      <w:r>
        <w:rPr>
          <w:rFonts w:hint="default"/>
          <w:sz w:val="28"/>
          <w:lang w:val="ru-RU"/>
        </w:rPr>
        <w:t xml:space="preserve"> итоги работы, можно констатировать, что н</w:t>
      </w:r>
      <w:r>
        <w:rPr>
          <w:sz w:val="28"/>
        </w:rPr>
        <w:t>а сегодняшний день в учреждении действуют два специализированных учебных кабинета: Лаборатория юного геолога и лаборатория юного эколога</w:t>
      </w:r>
      <w:r>
        <w:rPr>
          <w:rFonts w:hint="default"/>
          <w:sz w:val="28"/>
          <w:lang w:val="ru-RU"/>
        </w:rPr>
        <w:t>, материально-техническая база которых значительно улучшилась.</w:t>
      </w:r>
      <w:r>
        <w:rPr>
          <w:sz w:val="28"/>
        </w:rPr>
        <w:t xml:space="preserve"> </w:t>
      </w:r>
      <w:r>
        <w:rPr>
          <w:sz w:val="28"/>
          <w:lang w:val="ru-RU"/>
        </w:rPr>
        <w:t>В</w:t>
      </w:r>
      <w:r>
        <w:rPr>
          <w:sz w:val="28"/>
        </w:rPr>
        <w:t xml:space="preserve"> рамках проекта реализуется </w:t>
      </w:r>
      <w:r>
        <w:rPr>
          <w:sz w:val="28"/>
          <w:lang w:val="ru-RU"/>
        </w:rPr>
        <w:t>две</w:t>
      </w:r>
      <w:r>
        <w:rPr>
          <w:sz w:val="28"/>
        </w:rPr>
        <w:t xml:space="preserve"> дополнительные общеразвивающие программы: «Инструментальные исследования окружающей среды» и «Геология: от опыта к профессии», </w:t>
      </w:r>
      <w:r>
        <w:rPr>
          <w:sz w:val="28"/>
          <w:lang w:val="ru-RU"/>
        </w:rPr>
        <w:t>о</w:t>
      </w:r>
      <w:r>
        <w:rPr>
          <w:rFonts w:hint="default"/>
          <w:sz w:val="28"/>
          <w:lang w:val="ru-RU"/>
        </w:rPr>
        <w:t xml:space="preserve"> востребованности которых свидетельствует тот факт, что за  </w:t>
      </w:r>
      <w:r>
        <w:rPr>
          <w:sz w:val="28"/>
        </w:rPr>
        <w:t>последние три года число  детей, занимающихся по этим программам, выросло на  64,7%</w:t>
      </w:r>
      <w:r>
        <w:rPr>
          <w:rFonts w:hint="default"/>
          <w:sz w:val="28"/>
          <w:lang w:val="ru-RU"/>
        </w:rPr>
        <w:t>.</w:t>
      </w:r>
    </w:p>
    <w:p w14:paraId="66E4A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276" w:lineRule="auto"/>
        <w:ind w:firstLine="709"/>
        <w:textAlignment w:val="auto"/>
        <w:rPr>
          <w:sz w:val="28"/>
        </w:rPr>
      </w:pPr>
      <w:r>
        <w:rPr>
          <w:sz w:val="28"/>
        </w:rPr>
        <w:t>Кабинеты оснащены современными микроскопами с видеокамерами, лабораторными комплексами по естествознанию и цифровыми лабораториями по экологии; переносными лабораториями для исследования воды, почвы и воздуха и др</w:t>
      </w:r>
      <w:r>
        <w:rPr>
          <w:sz w:val="28"/>
          <w:lang w:val="ru-RU"/>
        </w:rPr>
        <w:t>угим</w:t>
      </w:r>
      <w:r>
        <w:rPr>
          <w:sz w:val="28"/>
        </w:rPr>
        <w:t xml:space="preserve"> инструментарием.   </w:t>
      </w:r>
    </w:p>
    <w:p w14:paraId="2460F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276" w:lineRule="auto"/>
        <w:ind w:firstLine="709"/>
        <w:textAlignment w:val="auto"/>
        <w:rPr>
          <w:sz w:val="28"/>
        </w:rPr>
      </w:pPr>
      <w:r>
        <w:rPr>
          <w:sz w:val="28"/>
        </w:rPr>
        <w:t>Работы, выполненные обучающимися, являются исследования по экологии, агротехнологии, геологии родного края. Их выполнение связано с проведением химических анализов почвы, воды, воздуха, минералов и горных пород, использованием химических реактивов, удобрений, средств защиты растений</w:t>
      </w:r>
      <w:r>
        <w:rPr>
          <w:rFonts w:hint="default"/>
          <w:sz w:val="28"/>
          <w:lang w:val="ru-RU"/>
        </w:rPr>
        <w:t xml:space="preserve">. </w:t>
      </w:r>
      <w:r>
        <w:rPr>
          <w:sz w:val="28"/>
        </w:rPr>
        <w:t xml:space="preserve">Часть анализов </w:t>
      </w:r>
      <w:r>
        <w:rPr>
          <w:sz w:val="28"/>
          <w:lang w:val="ru-RU"/>
        </w:rPr>
        <w:t>об</w:t>
      </w:r>
      <w:r>
        <w:rPr>
          <w:sz w:val="28"/>
        </w:rPr>
        <w:t>уча</w:t>
      </w:r>
      <w:r>
        <w:rPr>
          <w:sz w:val="28"/>
          <w:lang w:val="ru-RU"/>
        </w:rPr>
        <w:t>ю</w:t>
      </w:r>
      <w:r>
        <w:rPr>
          <w:sz w:val="28"/>
        </w:rPr>
        <w:t>щиеся выполняют с помощью цифровых лабораторий</w:t>
      </w:r>
      <w:r>
        <w:rPr>
          <w:rFonts w:hint="default"/>
          <w:sz w:val="28"/>
          <w:lang w:val="ru-RU"/>
        </w:rPr>
        <w:t>,</w:t>
      </w:r>
      <w:r>
        <w:rPr>
          <w:sz w:val="28"/>
        </w:rPr>
        <w:t xml:space="preserve"> электронных средств измерения и переносной цифровой лаборатории по экологии. Переносная лаборатория предназначена для проведения учебного экологического мониторинга инструментальными методами</w:t>
      </w:r>
      <w:r>
        <w:rPr>
          <w:rFonts w:hint="default"/>
          <w:sz w:val="28"/>
          <w:lang w:val="ru-RU"/>
        </w:rPr>
        <w:t xml:space="preserve"> в природных условиях</w:t>
      </w:r>
      <w:r>
        <w:rPr>
          <w:sz w:val="28"/>
        </w:rPr>
        <w:t>. В е</w:t>
      </w:r>
      <w:r>
        <w:rPr>
          <w:sz w:val="28"/>
          <w:lang w:val="ru-RU"/>
        </w:rPr>
        <w:t>ё</w:t>
      </w:r>
      <w:r>
        <w:rPr>
          <w:sz w:val="28"/>
        </w:rPr>
        <w:t xml:space="preserve"> </w:t>
      </w:r>
      <w:r>
        <w:rPr>
          <w:sz w:val="28"/>
          <w:lang w:val="ru-RU"/>
        </w:rPr>
        <w:t>комплекте</w:t>
      </w:r>
      <w:r>
        <w:rPr>
          <w:sz w:val="28"/>
        </w:rPr>
        <w:t xml:space="preserve"> 14 датчиков </w:t>
      </w:r>
      <w:r>
        <w:rPr>
          <w:sz w:val="28"/>
          <w:lang w:val="ru-RU"/>
        </w:rPr>
        <w:t>и</w:t>
      </w:r>
      <w:r>
        <w:rPr>
          <w:sz w:val="28"/>
        </w:rPr>
        <w:t xml:space="preserve"> персональный компьютер (нетбук).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 xml:space="preserve">Часть датчиков измеряет параметры водной среды, часть воздушной. Они легко подключаются, данные записываются и хранятся в архиве компьютера, легко трансформируются в таблицы и графики. И главное, данные полученные с их помощью могут стать научной основой для нескольких исследовательских работ школьников разных возрастов. </w:t>
      </w:r>
    </w:p>
    <w:p w14:paraId="4CFA6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276" w:lineRule="auto"/>
        <w:ind w:firstLine="709"/>
        <w:textAlignment w:val="auto"/>
        <w:rPr>
          <w:rFonts w:hint="default"/>
          <w:sz w:val="28"/>
          <w:lang w:val="ru-RU"/>
        </w:rPr>
      </w:pPr>
      <w:r>
        <w:rPr>
          <w:sz w:val="28"/>
          <w:lang w:val="ru-RU"/>
        </w:rPr>
        <w:t>Улучшенная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материально-техническая база кабинетов позволила повысить качество исследовательских работ, и у наших детей появилась реальная возможность испытать себя в решении исследовательских и прикладных научно-технических задач в области биологии, экологии, биохимии, геологии</w:t>
      </w:r>
      <w:r>
        <w:rPr>
          <w:rFonts w:hint="default"/>
          <w:sz w:val="28"/>
          <w:lang w:val="ru-RU"/>
        </w:rPr>
        <w:t xml:space="preserve">. </w:t>
      </w:r>
      <w:r>
        <w:rPr>
          <w:sz w:val="28"/>
        </w:rPr>
        <w:t>За три года было подготовлено 440 участников конкурсов и олимпиад разного уровня: от муниципального до международного, 295 из них стали победителями и приз</w:t>
      </w:r>
      <w:r>
        <w:rPr>
          <w:sz w:val="28"/>
          <w:lang w:val="ru-RU"/>
        </w:rPr>
        <w:t>ё</w:t>
      </w:r>
      <w:r>
        <w:rPr>
          <w:sz w:val="28"/>
        </w:rPr>
        <w:t>рами этих мероприятий. Надо сказать, что наши дети участвовали не только в заочных конкурсах. Благодаря поддержке Фонда «Достойным – лучшее»  они  выезжали на очную защиту в Москву, С</w:t>
      </w:r>
      <w:r>
        <w:rPr>
          <w:sz w:val="28"/>
          <w:lang w:val="ru-RU"/>
        </w:rPr>
        <w:t>анкт</w:t>
      </w:r>
      <w:r>
        <w:rPr>
          <w:sz w:val="28"/>
        </w:rPr>
        <w:t>-Петербург, Екатеринбург и др</w:t>
      </w:r>
      <w:r>
        <w:rPr>
          <w:sz w:val="28"/>
          <w:lang w:val="ru-RU"/>
        </w:rPr>
        <w:t>угие</w:t>
      </w:r>
      <w:r>
        <w:rPr>
          <w:rFonts w:hint="default"/>
          <w:sz w:val="28"/>
          <w:lang w:val="ru-RU"/>
        </w:rPr>
        <w:t xml:space="preserve"> города</w:t>
      </w:r>
      <w:r>
        <w:rPr>
          <w:sz w:val="28"/>
        </w:rPr>
        <w:t>.  Всего за</w:t>
      </w:r>
      <w:r>
        <w:rPr>
          <w:rFonts w:hint="default"/>
          <w:sz w:val="28"/>
          <w:lang w:val="ru-RU"/>
        </w:rPr>
        <w:t xml:space="preserve"> последние</w:t>
      </w:r>
      <w:r>
        <w:rPr>
          <w:sz w:val="28"/>
        </w:rPr>
        <w:t xml:space="preserve"> 3 года наши ученики защищали свои исследовательские работы на 32 региональных, всероссийских и международных конкурсах</w:t>
      </w:r>
      <w:r>
        <w:rPr>
          <w:rFonts w:hint="default"/>
          <w:sz w:val="28"/>
          <w:lang w:val="ru-RU"/>
        </w:rPr>
        <w:t>.</w:t>
      </w:r>
    </w:p>
    <w:p w14:paraId="3FCB3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276" w:lineRule="auto"/>
        <w:ind w:firstLine="709"/>
        <w:textAlignment w:val="auto"/>
        <w:rPr>
          <w:sz w:val="28"/>
        </w:rPr>
      </w:pPr>
      <w:r>
        <w:rPr>
          <w:sz w:val="28"/>
        </w:rPr>
        <w:t xml:space="preserve">Таким образом, </w:t>
      </w:r>
      <w:r>
        <w:rPr>
          <w:sz w:val="28"/>
          <w:lang w:val="ru-RU"/>
        </w:rPr>
        <w:t>реализация</w:t>
      </w:r>
      <w:r>
        <w:rPr>
          <w:rFonts w:hint="default"/>
          <w:sz w:val="28"/>
          <w:lang w:val="ru-RU"/>
        </w:rPr>
        <w:t xml:space="preserve"> образовательного проекта </w:t>
      </w:r>
      <w:r>
        <w:rPr>
          <w:sz w:val="28"/>
          <w:lang w:val="ru-RU"/>
        </w:rPr>
        <w:t>позволила</w:t>
      </w:r>
      <w:r>
        <w:rPr>
          <w:rFonts w:hint="default"/>
          <w:sz w:val="28"/>
          <w:lang w:val="ru-RU"/>
        </w:rPr>
        <w:t xml:space="preserve"> оснастить кабинеты современным оборудованием, а</w:t>
      </w:r>
      <w:r>
        <w:rPr>
          <w:sz w:val="28"/>
        </w:rPr>
        <w:t xml:space="preserve"> наши дети </w:t>
      </w:r>
      <w:r>
        <w:rPr>
          <w:sz w:val="28"/>
          <w:lang w:val="ru-RU"/>
        </w:rPr>
        <w:t>получили</w:t>
      </w:r>
      <w:r>
        <w:rPr>
          <w:rFonts w:hint="default"/>
          <w:sz w:val="28"/>
          <w:lang w:val="ru-RU"/>
        </w:rPr>
        <w:t xml:space="preserve"> возможность </w:t>
      </w:r>
      <w:r>
        <w:rPr>
          <w:sz w:val="28"/>
        </w:rPr>
        <w:t xml:space="preserve">проводить свои исследования на высоком научном уровне и достойно представлять наш городской округ на любом конкурсе. </w:t>
      </w:r>
    </w:p>
    <w:p w14:paraId="1D1779BC">
      <w:pPr>
        <w:rPr>
          <w:sz w:val="28"/>
        </w:rPr>
      </w:pPr>
    </w:p>
    <w:sectPr>
      <w:footerReference r:id="rId5" w:type="default"/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67259700"/>
      <w:docPartObj>
        <w:docPartGallery w:val="AutoText"/>
      </w:docPartObj>
    </w:sdtPr>
    <w:sdtContent>
      <w:p w14:paraId="54171C36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F0336C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88"/>
    <w:rsid w:val="0001043F"/>
    <w:rsid w:val="00010AFB"/>
    <w:rsid w:val="00043AF9"/>
    <w:rsid w:val="00104815"/>
    <w:rsid w:val="001405CD"/>
    <w:rsid w:val="00262DF7"/>
    <w:rsid w:val="002C0007"/>
    <w:rsid w:val="00373964"/>
    <w:rsid w:val="00415E1B"/>
    <w:rsid w:val="00434120"/>
    <w:rsid w:val="004C6D43"/>
    <w:rsid w:val="005011CB"/>
    <w:rsid w:val="00525E45"/>
    <w:rsid w:val="00580678"/>
    <w:rsid w:val="005B1761"/>
    <w:rsid w:val="005B1C9A"/>
    <w:rsid w:val="00651CBF"/>
    <w:rsid w:val="006D6F55"/>
    <w:rsid w:val="00705C58"/>
    <w:rsid w:val="007313C2"/>
    <w:rsid w:val="007B6D27"/>
    <w:rsid w:val="008016D0"/>
    <w:rsid w:val="00842B88"/>
    <w:rsid w:val="008A47B3"/>
    <w:rsid w:val="008B3827"/>
    <w:rsid w:val="008D27AF"/>
    <w:rsid w:val="008E0FC9"/>
    <w:rsid w:val="008F7B56"/>
    <w:rsid w:val="009309FA"/>
    <w:rsid w:val="00994D00"/>
    <w:rsid w:val="009D0E5A"/>
    <w:rsid w:val="009D1E76"/>
    <w:rsid w:val="00A74F9B"/>
    <w:rsid w:val="00AB0E02"/>
    <w:rsid w:val="00AF7957"/>
    <w:rsid w:val="00B27E24"/>
    <w:rsid w:val="00BA5049"/>
    <w:rsid w:val="00BC7C9B"/>
    <w:rsid w:val="00C36B53"/>
    <w:rsid w:val="00C75B77"/>
    <w:rsid w:val="00CB2893"/>
    <w:rsid w:val="00CE5B57"/>
    <w:rsid w:val="00D55EC7"/>
    <w:rsid w:val="00DA2DBA"/>
    <w:rsid w:val="00DF7E5D"/>
    <w:rsid w:val="00E127AC"/>
    <w:rsid w:val="00E4345A"/>
    <w:rsid w:val="00EC0A64"/>
    <w:rsid w:val="00EC652E"/>
    <w:rsid w:val="00EC7E8F"/>
    <w:rsid w:val="00ED0A64"/>
    <w:rsid w:val="00EE77F4"/>
    <w:rsid w:val="00EF60CF"/>
    <w:rsid w:val="00F04E0F"/>
    <w:rsid w:val="00F3305A"/>
    <w:rsid w:val="00F532F4"/>
    <w:rsid w:val="00FF1B65"/>
    <w:rsid w:val="3D9F7F26"/>
    <w:rsid w:val="452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="120" w:after="0" w:line="276" w:lineRule="auto"/>
      <w:ind w:firstLine="397"/>
      <w:jc w:val="both"/>
    </w:pPr>
    <w:rPr>
      <w:rFonts w:asciiTheme="minorHAnsi" w:hAnsiTheme="minorHAnsi" w:eastAsiaTheme="minorHAnsi" w:cstheme="minorBidi"/>
      <w:sz w:val="22"/>
      <w:szCs w:val="28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before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before="0" w:line="240" w:lineRule="auto"/>
    </w:pPr>
  </w:style>
  <w:style w:type="paragraph" w:styleId="7">
    <w:name w:val="No Spacing"/>
    <w:qFormat/>
    <w:uiPriority w:val="1"/>
    <w:pPr>
      <w:widowControl w:val="0"/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hAnsi="Times New Roman" w:eastAsia="Times New Roman" w:cstheme="minorBidi"/>
      <w:w w:val="91"/>
      <w:sz w:val="28"/>
      <w:szCs w:val="28"/>
      <w:lang w:val="ru-RU" w:eastAsia="ru-RU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eastAsia="Times New Roman"/>
    </w:rPr>
  </w:style>
  <w:style w:type="character" w:customStyle="1" w:styleId="9">
    <w:name w:val="Верхний колонтитул Знак"/>
    <w:basedOn w:val="2"/>
    <w:link w:val="5"/>
    <w:qFormat/>
    <w:uiPriority w:val="99"/>
    <w:rPr>
      <w:rFonts w:asciiTheme="minorHAnsi" w:hAnsiTheme="minorHAnsi"/>
      <w:sz w:val="22"/>
    </w:rPr>
  </w:style>
  <w:style w:type="character" w:customStyle="1" w:styleId="10">
    <w:name w:val="Нижний колонтитул Знак"/>
    <w:basedOn w:val="2"/>
    <w:link w:val="6"/>
    <w:uiPriority w:val="99"/>
    <w:rPr>
      <w:rFonts w:asciiTheme="minorHAnsi" w:hAnsiTheme="minorHAnsi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628</Words>
  <Characters>3582</Characters>
  <Lines>29</Lines>
  <Paragraphs>8</Paragraphs>
  <TotalTime>67</TotalTime>
  <ScaleCrop>false</ScaleCrop>
  <LinksUpToDate>false</LinksUpToDate>
  <CharactersWithSpaces>4202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2021-08-24T19:41:00Z</dcterms:created>
  <dc:creator>User</dc:creator>
  <cp:lastModifiedBy>WPS_1710758262</cp:lastModifiedBy>
  <cp:lastPrinted>2019-09-04T05:13:00Z</cp:lastPrinted>
  <dcterms:modified xsi:type="dcterms:W3CDTF">2024-08-30T08:48:46Z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F44ACD6937FF4B5BB80876E7E07165E7_13</vt:lpwstr>
  </property>
</Properties>
</file>