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line="360" w:lineRule="auto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Присс П.</w:t>
      </w:r>
      <w:r>
        <w:rPr>
          <w:rFonts w:ascii="Times New Roman" w:cs="Times New Roman" w:hAnsi="Times New Roman"/>
          <w:sz w:val="28"/>
          <w:szCs w:val="28"/>
        </w:rPr>
        <w:t>И Нижний Тагил, Государственное автономное профессиональ</w:t>
      </w:r>
      <w:r>
        <w:rPr>
          <w:rFonts w:ascii="Times New Roman" w:cs="Times New Roman" w:hAnsi="Times New Roman"/>
          <w:sz w:val="28"/>
          <w:szCs w:val="28"/>
        </w:rPr>
        <w:t>ное образовательное учреждение С</w:t>
      </w:r>
      <w:r>
        <w:rPr>
          <w:rFonts w:ascii="Times New Roman" w:cs="Times New Roman" w:hAnsi="Times New Roman"/>
          <w:sz w:val="28"/>
          <w:szCs w:val="28"/>
        </w:rPr>
        <w:t>вердловской области «Нижнетаги</w:t>
      </w:r>
      <w:r>
        <w:rPr>
          <w:rFonts w:ascii="Times New Roman" w:cs="Times New Roman" w:hAnsi="Times New Roman"/>
          <w:sz w:val="28"/>
          <w:szCs w:val="28"/>
        </w:rPr>
        <w:t>льский торгово-экономический ко</w:t>
      </w:r>
      <w:r>
        <w:rPr>
          <w:rFonts w:ascii="Times New Roman" w:cs="Times New Roman" w:hAnsi="Times New Roman"/>
          <w:sz w:val="28"/>
          <w:szCs w:val="28"/>
        </w:rPr>
        <w:t>лледж»</w:t>
      </w:r>
    </w:p>
    <w:p>
      <w:pPr>
        <w:spacing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Формирование рынка цифровых образовател</w:t>
      </w:r>
      <w:r>
        <w:rPr>
          <w:rFonts w:ascii="Times New Roman" w:cs="Times New Roman" w:hAnsi="Times New Roman"/>
          <w:b/>
          <w:sz w:val="28"/>
          <w:szCs w:val="28"/>
        </w:rPr>
        <w:t>ьных услуг: возможности и риски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Аннотация.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настоящее время рынок образовательных услуг во всем мире развивается под влиянием инновационных технологических и организационных решений</w:t>
      </w:r>
      <w:r>
        <w:rPr>
          <w:rFonts w:ascii="Times New Roman" w:cs="Times New Roman" w:hAnsi="Times New Roman"/>
          <w:sz w:val="28"/>
          <w:szCs w:val="28"/>
        </w:rPr>
        <w:t xml:space="preserve">. В данной статье </w:t>
      </w:r>
      <w:r>
        <w:rPr>
          <w:rFonts w:ascii="Times New Roman" w:cs="Times New Roman" w:hAnsi="Times New Roman"/>
          <w:sz w:val="28"/>
          <w:szCs w:val="28"/>
        </w:rPr>
        <w:t>будет рассмотрено, как формируется рынок цифровых образовательных услуг, возможности</w:t>
      </w:r>
      <w:r>
        <w:rPr>
          <w:rFonts w:ascii="Times New Roman" w:cs="Times New Roman" w:hAnsi="Times New Roman"/>
          <w:sz w:val="28"/>
          <w:szCs w:val="28"/>
        </w:rPr>
        <w:t xml:space="preserve"> его ф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рмирования</w:t>
      </w:r>
      <w:r>
        <w:rPr>
          <w:rFonts w:ascii="Times New Roman" w:cs="Times New Roman" w:hAnsi="Times New Roman"/>
          <w:sz w:val="28"/>
          <w:szCs w:val="28"/>
        </w:rPr>
        <w:t xml:space="preserve"> и риски</w:t>
      </w:r>
      <w:r>
        <w:rPr>
          <w:rFonts w:ascii="Times New Roman" w:cs="Times New Roman" w:hAnsi="Times New Roman"/>
          <w:sz w:val="28"/>
          <w:szCs w:val="28"/>
        </w:rPr>
        <w:t xml:space="preserve"> в современном мире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Ключевые слова: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рынок образовательных услуг, </w:t>
      </w:r>
      <w:r>
        <w:rPr>
          <w:rFonts w:ascii="Times New Roman" w:cs="Times New Roman" w:hAnsi="Times New Roman"/>
          <w:sz w:val="28"/>
          <w:szCs w:val="28"/>
        </w:rPr>
        <w:t>инновационные технологии,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электронное обучение</w:t>
      </w:r>
      <w:r>
        <w:rPr>
          <w:rFonts w:ascii="Times New Roman" w:cs="Times New Roman" w:hAnsi="Times New Roman"/>
          <w:sz w:val="28"/>
          <w:szCs w:val="28"/>
        </w:rPr>
        <w:t>, возможности и риски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Рынок образовательных услуг – это система экономических отношений по поводу актов купли</w:t>
      </w:r>
      <w:r>
        <w:rPr>
          <w:rFonts w:ascii="Times New Roman" w:cs="Times New Roman" w:hAnsi="Times New Roman"/>
          <w:sz w:val="28"/>
          <w:szCs w:val="28"/>
        </w:rPr>
        <w:t xml:space="preserve"> -</w:t>
      </w:r>
      <w:r>
        <w:rPr>
          <w:rFonts w:ascii="Times New Roman" w:cs="Times New Roman" w:hAnsi="Times New Roman"/>
          <w:sz w:val="28"/>
          <w:szCs w:val="28"/>
        </w:rPr>
        <w:t xml:space="preserve"> продажи услуг образования. [1]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21 век – век инновационных технологий, век научно-технического прогресса. Онлайн – обучение стало популярным в последние годы. Многим удобно получать образование через </w:t>
      </w:r>
      <w:r>
        <w:rPr>
          <w:rFonts w:ascii="Times New Roman" w:cs="Times New Roman" w:hAnsi="Times New Roman"/>
          <w:sz w:val="28"/>
          <w:szCs w:val="28"/>
        </w:rPr>
        <w:t>гаджеты</w:t>
      </w:r>
      <w:r>
        <w:rPr>
          <w:rFonts w:ascii="Times New Roman" w:cs="Times New Roman" w:hAnsi="Times New Roman"/>
          <w:sz w:val="28"/>
          <w:szCs w:val="28"/>
        </w:rPr>
        <w:t xml:space="preserve">, так как не нужно тратить время на дорогу и сборы. Безусловно, есть люди, которым некомфортно и тяжело концентрироваться без очного присутствия преподавателя, у многих может и не быть оборудованного рабочего места для занятий онлайн. Но тех, кто готов обучаться онлайн подавляющее большинство. </w:t>
      </w:r>
      <w:r>
        <w:rPr>
          <w:rFonts w:ascii="Times New Roman" w:cs="Times New Roman" w:hAnsi="Times New Roman"/>
          <w:sz w:val="28"/>
          <w:szCs w:val="28"/>
        </w:rPr>
        <w:t xml:space="preserve"> За счет инновационных технологий произошла интеграция традиционных методов обучения (рисунок 1).</w:t>
      </w:r>
    </w:p>
    <w:p>
      <w:pPr>
        <w:spacing w:after="0" w:line="360" w:lineRule="auto"/>
        <w:ind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inline distT="0" distB="0" distL="0" distR="0">
            <wp:extent cx="3524250" cy="160362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/>
                    <a:srcRect l="46267" t="51741" r="25719" b="28373"/>
                    <a:stretch/>
                  </pic:blipFill>
                  <pic:spPr>
                    <a:xfrm>
                      <a:off x="0" y="0"/>
                      <a:ext cx="3524250" cy="16036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Рисунок 1 – Интеграция традиционных методов обучения[2]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Спрос на </w:t>
      </w:r>
      <w:r>
        <w:rPr>
          <w:rFonts w:ascii="Times New Roman" w:cs="Times New Roman" w:hAnsi="Times New Roman"/>
          <w:sz w:val="28"/>
          <w:szCs w:val="28"/>
        </w:rPr>
        <w:t>цифровое образование привёл к стремительному ув</w:t>
      </w:r>
      <w:r>
        <w:rPr>
          <w:rFonts w:ascii="Times New Roman" w:cs="Times New Roman" w:hAnsi="Times New Roman"/>
          <w:sz w:val="28"/>
          <w:szCs w:val="28"/>
        </w:rPr>
        <w:t xml:space="preserve">еличению </w:t>
      </w:r>
      <w:r>
        <w:rPr>
          <w:rFonts w:ascii="Times New Roman" w:cs="Times New Roman" w:hAnsi="Times New Roman"/>
          <w:sz w:val="28"/>
          <w:szCs w:val="28"/>
        </w:rPr>
        <w:t xml:space="preserve">количества </w:t>
      </w:r>
      <w:r>
        <w:rPr>
          <w:rFonts w:ascii="Times New Roman" w:cs="Times New Roman" w:hAnsi="Times New Roman"/>
          <w:sz w:val="28"/>
          <w:szCs w:val="28"/>
        </w:rPr>
        <w:t xml:space="preserve">образовательных онлайн </w:t>
      </w:r>
      <w:r>
        <w:rPr>
          <w:rFonts w:ascii="Times New Roman" w:cs="Times New Roman" w:hAnsi="Times New Roman"/>
          <w:sz w:val="28"/>
          <w:szCs w:val="28"/>
        </w:rPr>
        <w:t xml:space="preserve">платформ. Соответственно, для обеспечения взаимосвязи производства услуг и их потребления необходимо создать рынок. Именно в связи с этим начали своё формирование и развитие рынки цифровых образовательных услуг. 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Продажа цифровых образовательных услуг – это перспективное направление. Онлайн – курсы и различные обучающие платформы всегда за определённую сумму включают премиум подписку, по которой у </w:t>
      </w:r>
      <w:r>
        <w:rPr>
          <w:rFonts w:ascii="Times New Roman" w:cs="Times New Roman" w:hAnsi="Times New Roman"/>
          <w:sz w:val="28"/>
          <w:szCs w:val="28"/>
        </w:rPr>
        <w:t>обучающегося</w:t>
      </w:r>
      <w:r>
        <w:rPr>
          <w:rFonts w:ascii="Times New Roman" w:cs="Times New Roman" w:hAnsi="Times New Roman"/>
          <w:sz w:val="28"/>
          <w:szCs w:val="28"/>
        </w:rPr>
        <w:t xml:space="preserve"> появляется расширенный доступ к углублённым лекциям или конспектам.  Каждый, кто хочет получить хорошее образование, будет платить, чтобы получить дополнительные, углублённые знания.</w:t>
      </w:r>
      <w:r>
        <w:rPr>
          <w:rFonts w:ascii="Times New Roman" w:cs="Times New Roman" w:hAnsi="Times New Roman"/>
          <w:sz w:val="28"/>
          <w:szCs w:val="28"/>
        </w:rPr>
        <w:t xml:space="preserve"> А это значит, что при наличии спроса на данный вид услуг, рынок будет процветать.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Потребителей рынка электронного образования привлекаю положительные стороны онлайн обучения, которые включают в себя гибкость графика. Если школьник учится через интернет, он самостоятельно планирует расписание. Легко совмещать образование онлайн с дополнительными секциями и кружками [3]. Также покупателей привлекает персонализация программы: у каждого ученика своя программа, основанная на</w:t>
      </w:r>
      <w:r>
        <w:rPr>
          <w:rFonts w:ascii="Times New Roman" w:cs="Times New Roman" w:hAnsi="Times New Roman"/>
          <w:sz w:val="28"/>
          <w:szCs w:val="28"/>
        </w:rPr>
        <w:t xml:space="preserve"> его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предпочтениях и возможностях.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‍ Другое преимущество электронного обучения — независимос</w:t>
      </w:r>
      <w:r>
        <w:rPr>
          <w:rFonts w:ascii="Times New Roman" w:cs="Times New Roman" w:hAnsi="Times New Roman"/>
          <w:sz w:val="28"/>
          <w:szCs w:val="28"/>
        </w:rPr>
        <w:t>ть от локации: местоположение не имеет значение, а  в</w:t>
      </w:r>
      <w:r>
        <w:rPr>
          <w:rFonts w:ascii="Times New Roman" w:cs="Times New Roman" w:hAnsi="Times New Roman"/>
          <w:sz w:val="28"/>
          <w:szCs w:val="28"/>
        </w:rPr>
        <w:t xml:space="preserve">сё, что нужно для обучения — </w:t>
      </w:r>
      <w:r>
        <w:rPr>
          <w:rFonts w:ascii="Times New Roman" w:cs="Times New Roman" w:hAnsi="Times New Roman"/>
          <w:sz w:val="28"/>
          <w:szCs w:val="28"/>
        </w:rPr>
        <w:t>любой гаджет</w:t>
      </w:r>
      <w:r>
        <w:rPr>
          <w:rFonts w:ascii="Times New Roman" w:cs="Times New Roman" w:hAnsi="Times New Roman"/>
          <w:sz w:val="28"/>
          <w:szCs w:val="28"/>
        </w:rPr>
        <w:t xml:space="preserve"> с выходом в интернет. Можно учиться из любой точки планеты, и это делает образование доступным.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Искусственный интеллект, машинное обучение, большие данные, игровые механики, автоматизация, </w:t>
      </w:r>
      <w:r>
        <w:rPr>
          <w:rFonts w:ascii="Times New Roman" w:cs="Times New Roman" w:hAnsi="Times New Roman"/>
          <w:sz w:val="28"/>
          <w:szCs w:val="28"/>
        </w:rPr>
        <w:t>микрообучение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геймификация</w:t>
      </w:r>
      <w:r>
        <w:rPr>
          <w:rFonts w:ascii="Times New Roman" w:cs="Times New Roman" w:hAnsi="Times New Roman"/>
          <w:sz w:val="28"/>
          <w:szCs w:val="28"/>
        </w:rPr>
        <w:t>, виртуальная и дополненная реальность (AR/VR) – это тренды развития цифрового рынка образования.</w:t>
      </w:r>
      <w:r>
        <w:rPr>
          <w:rFonts w:ascii="Times New Roman" w:cs="Times New Roman" w:hAnsi="Times New Roman"/>
          <w:sz w:val="28"/>
          <w:szCs w:val="28"/>
        </w:rPr>
        <w:t xml:space="preserve"> Формирование комбинаторных конфигураций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bCs/>
          <w:sz w:val="28"/>
          <w:szCs w:val="28"/>
        </w:rPr>
        <w:t>расположение конечного множества элементов, удовлетворяющее ряду специальных свойств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этих трендов – это путь формирования нового, современного, актуального, инновационного образования</w:t>
      </w:r>
      <w:r>
        <w:rPr>
          <w:rFonts w:ascii="Times New Roman" w:cs="Times New Roman" w:hAnsi="Times New Roman"/>
          <w:sz w:val="28"/>
          <w:szCs w:val="28"/>
        </w:rPr>
        <w:t xml:space="preserve"> [4]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Возможности формиро</w:t>
      </w:r>
      <w:r>
        <w:rPr>
          <w:rFonts w:ascii="Times New Roman" w:cs="Times New Roman" w:hAnsi="Times New Roman"/>
          <w:sz w:val="28"/>
          <w:szCs w:val="28"/>
        </w:rPr>
        <w:t xml:space="preserve">вания и развития рынка цифровых </w:t>
      </w:r>
      <w:r>
        <w:rPr>
          <w:rFonts w:ascii="Times New Roman" w:cs="Times New Roman" w:hAnsi="Times New Roman"/>
          <w:sz w:val="28"/>
          <w:szCs w:val="28"/>
        </w:rPr>
        <w:t>образовательных</w:t>
      </w:r>
      <w:r>
        <w:rPr>
          <w:rFonts w:ascii="Times New Roman" w:cs="Times New Roman" w:hAnsi="Times New Roman"/>
          <w:sz w:val="28"/>
          <w:szCs w:val="28"/>
        </w:rPr>
        <w:t xml:space="preserve">  услуг – это </w:t>
      </w:r>
      <w:r>
        <w:rPr>
          <w:rFonts w:ascii="Times New Roman" w:cs="Times New Roman" w:hAnsi="Times New Roman"/>
          <w:sz w:val="28"/>
          <w:szCs w:val="28"/>
        </w:rPr>
        <w:t>инновационные технологии, без кот</w:t>
      </w:r>
      <w:r>
        <w:rPr>
          <w:rFonts w:ascii="Times New Roman" w:cs="Times New Roman" w:hAnsi="Times New Roman"/>
          <w:sz w:val="28"/>
          <w:szCs w:val="28"/>
        </w:rPr>
        <w:t xml:space="preserve">орых </w:t>
      </w:r>
      <w:r>
        <w:rPr>
          <w:rFonts w:ascii="Times New Roman" w:cs="Times New Roman" w:hAnsi="Times New Roman"/>
          <w:sz w:val="28"/>
          <w:szCs w:val="28"/>
        </w:rPr>
        <w:t xml:space="preserve">удалённо заниматься </w:t>
      </w:r>
      <w:r>
        <w:rPr>
          <w:rFonts w:ascii="Times New Roman" w:cs="Times New Roman" w:hAnsi="Times New Roman"/>
          <w:sz w:val="28"/>
          <w:szCs w:val="28"/>
        </w:rPr>
        <w:t xml:space="preserve">невозможно, и спрос на электронные образовательные услуги, без которого не будет предложения этих услуг, а, следовательно, и </w:t>
      </w:r>
      <w:r>
        <w:rPr>
          <w:rFonts w:ascii="Times New Roman" w:cs="Times New Roman" w:hAnsi="Times New Roman"/>
          <w:sz w:val="28"/>
          <w:szCs w:val="28"/>
        </w:rPr>
        <w:t>самого</w:t>
      </w:r>
      <w:r>
        <w:rPr>
          <w:rFonts w:ascii="Times New Roman" w:cs="Times New Roman" w:hAnsi="Times New Roman"/>
          <w:sz w:val="28"/>
          <w:szCs w:val="28"/>
        </w:rPr>
        <w:t xml:space="preserve"> рынка. Именно спрос играют здесь главную роль. При большом спросе увеличивается и объём предложения, значит, рынок постепенно формируется и </w:t>
      </w:r>
      <w:r>
        <w:rPr>
          <w:rFonts w:ascii="Times New Roman" w:cs="Times New Roman" w:hAnsi="Times New Roman"/>
          <w:sz w:val="28"/>
          <w:szCs w:val="28"/>
        </w:rPr>
        <w:t xml:space="preserve">ускоренно </w:t>
      </w:r>
      <w:r>
        <w:rPr>
          <w:rFonts w:ascii="Times New Roman" w:cs="Times New Roman" w:hAnsi="Times New Roman"/>
          <w:sz w:val="28"/>
          <w:szCs w:val="28"/>
        </w:rPr>
        <w:t>развивается</w:t>
      </w:r>
      <w:r>
        <w:rPr>
          <w:rFonts w:ascii="Times New Roman" w:cs="Times New Roman" w:hAnsi="Times New Roman"/>
          <w:sz w:val="28"/>
          <w:szCs w:val="28"/>
        </w:rPr>
        <w:t xml:space="preserve"> в условиях жесткой конкуренции</w:t>
      </w:r>
      <w:r>
        <w:rPr>
          <w:rFonts w:ascii="Times New Roman" w:cs="Times New Roman" w:hAnsi="Times New Roman"/>
          <w:sz w:val="28"/>
          <w:szCs w:val="28"/>
        </w:rPr>
        <w:t xml:space="preserve">, увеличивая свои возможности.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 время дистанционного обучения многие электронные образовательные платформы стали популярными (таблица 1).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Таблица 1 – Рейтинг </w:t>
      </w:r>
      <w:r>
        <w:rPr>
          <w:rFonts w:ascii="Times New Roman" w:cs="Times New Roman" w:hAnsi="Times New Roman"/>
          <w:sz w:val="28"/>
          <w:szCs w:val="28"/>
        </w:rPr>
        <w:t>EdTech</w:t>
      </w:r>
      <w:r>
        <w:rPr>
          <w:rFonts w:ascii="Times New Roman" w:cs="Times New Roman" w:hAnsi="Times New Roman"/>
          <w:sz w:val="28"/>
          <w:szCs w:val="28"/>
        </w:rPr>
        <w:t xml:space="preserve"> компаний России [5].</w:t>
      </w:r>
    </w:p>
    <w:tbl>
      <w:tblPr>
        <w:tblStyle w:val="TableGrid"/>
        <w:tblW w:w="0" w:type="auto"/>
        <w:jc w:val="center"/>
        <w:tblInd w:w="-193" w:type="dxa"/>
        <w:tblLook w:val="04A0"/>
      </w:tblPr>
      <w:tblGrid>
        <w:gridCol w:w="689"/>
        <w:gridCol w:w="3105"/>
        <w:gridCol w:w="1984"/>
        <w:gridCol w:w="1985"/>
        <w:gridCol w:w="1897"/>
      </w:tblGrid>
      <w:tr>
        <w:trPr>
          <w:jc w:val="center"/>
        </w:trPr>
        <w:tc>
          <w:tcPr>
            <w:cnfStyle w:val="101000000000"/>
            <w:tcW w:w="689" w:type="dxa"/>
            <w:shd w:val="clear" w:color="auto" w:fill="auto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100000000000"/>
            <w:tcW w:w="310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Компания</w:t>
            </w:r>
          </w:p>
        </w:tc>
        <w:tc>
          <w:tcPr>
            <w:cnfStyle w:val="100000000000"/>
            <w:tcW w:w="198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Выручка в 2023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году, млрд. руб.</w:t>
            </w:r>
          </w:p>
        </w:tc>
        <w:tc>
          <w:tcPr>
            <w:cnfStyle w:val="100000000000"/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Выручка в 2022 году, млрд. руб.</w:t>
            </w:r>
          </w:p>
        </w:tc>
        <w:tc>
          <w:tcPr>
            <w:cnfStyle w:val="100000000000"/>
            <w:tcW w:w="1897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Рост, %</w:t>
            </w:r>
          </w:p>
        </w:tc>
      </w:tr>
      <w:tr>
        <w:trPr>
          <w:jc w:val="center"/>
        </w:trPr>
        <w:tc>
          <w:tcPr>
            <w:cnfStyle w:val="001000100000"/>
            <w:tcW w:w="689" w:type="dxa"/>
            <w:shd w:val="clear" w:color="auto" w:fill="auto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310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Skillbox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Holding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Limited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8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10,59</w:t>
            </w:r>
          </w:p>
        </w:tc>
        <w:tc>
          <w:tcPr>
            <w:cnfStyle w:val="000000100000"/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10,4</w:t>
            </w:r>
          </w:p>
        </w:tc>
        <w:tc>
          <w:tcPr>
            <w:cnfStyle w:val="000000100000"/>
            <w:tcW w:w="1897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1,83</w:t>
            </w:r>
          </w:p>
        </w:tc>
      </w:tr>
      <w:tr>
        <w:trPr>
          <w:jc w:val="center"/>
        </w:trPr>
        <w:tc>
          <w:tcPr>
            <w:cnfStyle w:val="001000010000"/>
            <w:tcW w:w="689" w:type="dxa"/>
            <w:shd w:val="clear" w:color="auto" w:fill="auto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310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«Яндекс. Практикум»</w:t>
            </w:r>
          </w:p>
        </w:tc>
        <w:tc>
          <w:tcPr>
            <w:cnfStyle w:val="000000010000"/>
            <w:tcW w:w="198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5,57</w:t>
            </w:r>
          </w:p>
        </w:tc>
        <w:tc>
          <w:tcPr>
            <w:cnfStyle w:val="000000010000"/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3,04</w:t>
            </w:r>
          </w:p>
        </w:tc>
        <w:tc>
          <w:tcPr>
            <w:cnfStyle w:val="000000010000"/>
            <w:tcW w:w="1897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83,22</w:t>
            </w:r>
          </w:p>
        </w:tc>
      </w:tr>
      <w:tr>
        <w:trPr>
          <w:jc w:val="center"/>
        </w:trPr>
        <w:tc>
          <w:tcPr>
            <w:cnfStyle w:val="001000100000"/>
            <w:tcW w:w="689" w:type="dxa"/>
            <w:shd w:val="clear" w:color="auto" w:fill="auto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310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Учи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8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3,298</w:t>
            </w:r>
          </w:p>
        </w:tc>
        <w:tc>
          <w:tcPr>
            <w:cnfStyle w:val="000000100000"/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2,9</w:t>
            </w:r>
          </w:p>
        </w:tc>
        <w:tc>
          <w:tcPr>
            <w:cnfStyle w:val="000000100000"/>
            <w:tcW w:w="1897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13,72</w:t>
            </w:r>
          </w:p>
        </w:tc>
      </w:tr>
      <w:tr>
        <w:trPr>
          <w:jc w:val="center"/>
        </w:trPr>
        <w:tc>
          <w:tcPr>
            <w:cnfStyle w:val="001000010000"/>
            <w:tcW w:w="689" w:type="dxa"/>
            <w:shd w:val="clear" w:color="auto" w:fill="auto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310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Novakid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98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3,17</w:t>
            </w:r>
          </w:p>
        </w:tc>
        <w:tc>
          <w:tcPr>
            <w:cnfStyle w:val="000000010000"/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1,5</w:t>
            </w:r>
          </w:p>
        </w:tc>
        <w:tc>
          <w:tcPr>
            <w:cnfStyle w:val="000000010000"/>
            <w:tcW w:w="1897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111,33</w:t>
            </w:r>
          </w:p>
        </w:tc>
      </w:tr>
      <w:tr>
        <w:trPr>
          <w:jc w:val="center"/>
        </w:trPr>
        <w:tc>
          <w:tcPr>
            <w:cnfStyle w:val="001000100000"/>
            <w:tcW w:w="689" w:type="dxa"/>
            <w:shd w:val="clear" w:color="auto" w:fill="auto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310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Умскул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8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2,97</w:t>
            </w:r>
          </w:p>
        </w:tc>
        <w:tc>
          <w:tcPr>
            <w:cnfStyle w:val="000000100000"/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2,1</w:t>
            </w:r>
          </w:p>
        </w:tc>
        <w:tc>
          <w:tcPr>
            <w:cnfStyle w:val="000000100000"/>
            <w:tcW w:w="1897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41,43</w:t>
            </w:r>
          </w:p>
        </w:tc>
      </w:tr>
      <w:tr>
        <w:trPr>
          <w:jc w:val="center"/>
        </w:trPr>
        <w:tc>
          <w:tcPr>
            <w:cnfStyle w:val="001000010000"/>
            <w:tcW w:w="689" w:type="dxa"/>
            <w:shd w:val="clear" w:color="auto" w:fill="auto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310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Фоксфорд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98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2,862</w:t>
            </w:r>
          </w:p>
        </w:tc>
        <w:tc>
          <w:tcPr>
            <w:cnfStyle w:val="000000010000"/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1,7647</w:t>
            </w:r>
          </w:p>
        </w:tc>
        <w:tc>
          <w:tcPr>
            <w:cnfStyle w:val="000000010000"/>
            <w:tcW w:w="1897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62,18</w:t>
            </w:r>
          </w:p>
        </w:tc>
      </w:tr>
      <w:tr>
        <w:trPr>
          <w:jc w:val="center"/>
        </w:trPr>
        <w:tc>
          <w:tcPr>
            <w:cnfStyle w:val="001000100000"/>
            <w:tcW w:w="689" w:type="dxa"/>
            <w:shd w:val="clear" w:color="auto" w:fill="auto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100000"/>
            <w:tcW w:w="310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Нетология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98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2,813</w:t>
            </w:r>
          </w:p>
        </w:tc>
        <w:tc>
          <w:tcPr>
            <w:cnfStyle w:val="000000100000"/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1,8</w:t>
            </w:r>
          </w:p>
        </w:tc>
        <w:tc>
          <w:tcPr>
            <w:cnfStyle w:val="000000100000"/>
            <w:tcW w:w="1897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56,28</w:t>
            </w:r>
          </w:p>
        </w:tc>
      </w:tr>
      <w:tr>
        <w:trPr>
          <w:jc w:val="center"/>
        </w:trPr>
        <w:tc>
          <w:tcPr>
            <w:cnfStyle w:val="001000010000"/>
            <w:tcW w:w="689" w:type="dxa"/>
            <w:shd w:val="clear" w:color="auto" w:fill="auto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010000"/>
            <w:tcW w:w="310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«Компьютерная академия Тор»</w:t>
            </w:r>
          </w:p>
        </w:tc>
        <w:tc>
          <w:tcPr>
            <w:cnfStyle w:val="000000010000"/>
            <w:tcW w:w="1984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2,81</w:t>
            </w:r>
          </w:p>
        </w:tc>
        <w:tc>
          <w:tcPr>
            <w:cnfStyle w:val="000000010000"/>
            <w:tcW w:w="1985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1,53</w:t>
            </w:r>
          </w:p>
        </w:tc>
        <w:tc>
          <w:tcPr>
            <w:cnfStyle w:val="000000010000"/>
            <w:tcW w:w="1897" w:type="dxa"/>
            <w:shd w:val="clear" w:color="auto" w:fill="auto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83,66</w:t>
            </w:r>
          </w:p>
        </w:tc>
      </w:tr>
    </w:tbl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 и у цифрового образования есть свои отрицательные стороны и риски.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Перестроиться на н</w:t>
      </w:r>
      <w:r>
        <w:rPr>
          <w:rFonts w:ascii="Times New Roman" w:cs="Times New Roman" w:hAnsi="Times New Roman"/>
          <w:sz w:val="28"/>
          <w:szCs w:val="28"/>
        </w:rPr>
        <w:t xml:space="preserve">овую форму обучения </w:t>
      </w:r>
      <w:r>
        <w:rPr>
          <w:rFonts w:ascii="Times New Roman" w:cs="Times New Roman" w:hAnsi="Times New Roman"/>
          <w:sz w:val="28"/>
          <w:szCs w:val="28"/>
        </w:rPr>
        <w:t xml:space="preserve">не всегда легко, потребуется время. Ученикам может не хватать общения со сверстниками, ведь вся учёба проходит за компьютером. Общения в социальных сетях тоже не всегда достаточно.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 все онлайн школы имеют лицензию. Лицензия на образовательную деятельность — это</w:t>
      </w:r>
      <w:r>
        <w:rPr>
          <w:rFonts w:ascii="Times New Roman" w:cs="Times New Roman" w:hAnsi="Times New Roman"/>
          <w:sz w:val="28"/>
          <w:szCs w:val="28"/>
        </w:rPr>
        <w:t xml:space="preserve"> очень</w:t>
      </w:r>
      <w:r>
        <w:rPr>
          <w:rFonts w:ascii="Times New Roman" w:cs="Times New Roman" w:hAnsi="Times New Roman"/>
          <w:sz w:val="28"/>
          <w:szCs w:val="28"/>
        </w:rPr>
        <w:t xml:space="preserve"> важный документ для учебных заведений. Он </w:t>
      </w:r>
      <w:r>
        <w:rPr>
          <w:rFonts w:ascii="Times New Roman" w:cs="Times New Roman" w:hAnsi="Times New Roman"/>
          <w:sz w:val="28"/>
          <w:szCs w:val="28"/>
        </w:rPr>
        <w:t xml:space="preserve">необходим организациям, которые реализуют образовательные программы в любом формате. Даже электронное обучение не снимает с организации ответственности перед законом [3].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 возможности формирования рынка относится наличие современных технологий. Но часть населения лишена возможности учиться онлайн, поэтому на электронное образование может снизиться спрос.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Другой минус электронного образования — недостаток компетентных специалистов, которые умеют преподавать онлайн. Преподаватель должен уметь доносить информацию через экран гаджетов так, чтобы это было понятно и интересно.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Риски рынка цифровых услуг велики. </w:t>
      </w:r>
      <w:r>
        <w:rPr>
          <w:rFonts w:ascii="Times New Roman" w:cs="Times New Roman" w:hAnsi="Times New Roman"/>
          <w:sz w:val="28"/>
          <w:szCs w:val="28"/>
        </w:rPr>
        <w:t>В Интернете много мошенников и хакеров, которые создают поддельные сайты и воруют конфиденциальную информацию граждан.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Соответственно, доверие к сайтам и обучению онлайн у людей пропадает, что приводит к снижению спроса. А как было сказано ранее, спрос является главным фактором формирования рынка.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Экономика страны также является риском. </w:t>
      </w:r>
      <w:r>
        <w:rPr>
          <w:rFonts w:ascii="Times New Roman" w:cs="Times New Roman" w:hAnsi="Times New Roman"/>
          <w:sz w:val="28"/>
          <w:szCs w:val="28"/>
        </w:rPr>
        <w:t xml:space="preserve">Курсы цифрового образования имеют определенную стоимость, то есть это определённые затраты и расходы бюджета. </w:t>
      </w:r>
      <w:r>
        <w:rPr>
          <w:rFonts w:ascii="Times New Roman" w:cs="Times New Roman" w:hAnsi="Times New Roman"/>
          <w:sz w:val="28"/>
          <w:szCs w:val="28"/>
        </w:rPr>
        <w:t>Инфляция привод</w:t>
      </w:r>
      <w:r>
        <w:rPr>
          <w:rFonts w:ascii="Times New Roman" w:cs="Times New Roman" w:hAnsi="Times New Roman"/>
          <w:sz w:val="28"/>
          <w:szCs w:val="28"/>
        </w:rPr>
        <w:t>ит к тому, что потребители из-</w:t>
      </w:r>
      <w:r>
        <w:rPr>
          <w:rFonts w:ascii="Times New Roman" w:cs="Times New Roman" w:hAnsi="Times New Roman"/>
          <w:sz w:val="28"/>
          <w:szCs w:val="28"/>
        </w:rPr>
        <w:t xml:space="preserve">за роста цен могут позволить себе меньше товаров за ту же стоимость. Если же инфляция достигает максимального уровня, то никаких дополнительных трат граждане совершать не будут, так как заработной платы </w:t>
      </w:r>
      <w:r>
        <w:rPr>
          <w:rFonts w:ascii="Times New Roman" w:cs="Times New Roman" w:hAnsi="Times New Roman"/>
          <w:sz w:val="28"/>
          <w:szCs w:val="28"/>
        </w:rPr>
        <w:t xml:space="preserve">не хватает на удовлетворение духовных потребностей, к которым и относится потребность в образовании. Инфляция становится фактором, влияющим на спрос, который уменьшится, что приведёт к снижению мотивации в создании и формировании рынка цифровых образовательных услуг.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Согласно статистике МВД России, за 2022 год зарегистрировано 522 тыс.  преступлений, совершенных в сфере информационно-телекоммуникационных технологий и компьютерной информации, что на 0,8 % больше, чем в 2021 году. 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общем числе зарегистрированных преступлений их удельный вес составил 26,5%. По-прежнему больше половины преступлений в цифровой среде (52,1%) </w:t>
      </w:r>
      <w:r>
        <w:rPr>
          <w:rFonts w:ascii="Times New Roman" w:cs="Times New Roman" w:hAnsi="Times New Roman"/>
          <w:sz w:val="28"/>
          <w:szCs w:val="28"/>
        </w:rPr>
        <w:t>составляют тяжкие и особо тяжкие преступления (272,2 тыс.). Около трех четвертей (73,0%) совершаются с использованием сети «Интернет» – 381,1 тыс. (+8,4%). Более трети (213 тыс., или 40,8%) совершено с использованием средств мобильной связи [6].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Подводя итоги, можно сказать, что формирование рынка цифровых образовательных услуг имеет перспективы. Но при создании такого рынка нужно учитывать все обстоятельства и факторы, влияющие на спрос к услугам рынка, чтобы обеспечить безопасность потребителям  и получить выгоду от данной деятельности.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Список использованной литературы</w:t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"https://tksu.ru/upload/iblock/0bf/Metodicheskoe-posobie-_-Kontseptualnye-osnovy-privedeniya-sistemy-obrazovaniya-k-zaprosam-potrebnostyam-rynka-truda.pdf" \l ":~:text=Рынок%20образовательных%20услуг%20–%20это,и%20предложения%20на%20образовательные%20услуги"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https</w:t>
      </w:r>
      <w:r>
        <w:rPr>
          <w:rStyle w:val="Hyperlink"/>
          <w:rFonts w:ascii="Times New Roman" w:cs="Times New Roman" w:hAnsi="Times New Roman"/>
          <w:sz w:val="28"/>
          <w:szCs w:val="28"/>
        </w:rPr>
        <w:t>://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tksu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upload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iblock</w:t>
      </w:r>
      <w:r>
        <w:rPr>
          <w:rStyle w:val="Hyperlink"/>
          <w:rFonts w:ascii="Times New Roman" w:cs="Times New Roman" w:hAnsi="Times New Roman"/>
          <w:sz w:val="28"/>
          <w:szCs w:val="28"/>
        </w:rPr>
        <w:t>/0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bf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Metodicheskoe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posobie</w:t>
      </w:r>
      <w:r>
        <w:rPr>
          <w:rStyle w:val="Hyperlink"/>
          <w:rFonts w:ascii="Times New Roman" w:cs="Times New Roman" w:hAnsi="Times New Roman"/>
          <w:sz w:val="28"/>
          <w:szCs w:val="28"/>
        </w:rPr>
        <w:t>-_-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Kontseptualnye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osnovy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privedeniya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sistemy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obrazovaniya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k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zaprosam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potrebnostyam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rynka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truda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pdf</w:t>
      </w:r>
      <w:r>
        <w:rPr>
          <w:rStyle w:val="Hyperlink"/>
          <w:rFonts w:ascii="Times New Roman" w:cs="Times New Roman" w:hAnsi="Times New Roman"/>
          <w:sz w:val="28"/>
          <w:szCs w:val="28"/>
        </w:rPr>
        <w:t>#:~: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text</w:t>
      </w:r>
      <w:r>
        <w:rPr>
          <w:rStyle w:val="Hyperlink"/>
          <w:rFonts w:ascii="Times New Roman" w:cs="Times New Roman" w:hAnsi="Times New Roman"/>
          <w:sz w:val="28"/>
          <w:szCs w:val="28"/>
        </w:rPr>
        <w:t>=Рынок%20образовательных%20услуг%20–%20это,и%20предложения%20на%20образовательные%20услуги</w:t>
      </w:r>
      <w:r>
        <w:fldChar w:fldCharType="end"/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"https://science.usue.ru/images/docs/itogi/ceiob060922.pdf"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https</w:t>
      </w:r>
      <w:r>
        <w:rPr>
          <w:rStyle w:val="Hyperlink"/>
          <w:rFonts w:ascii="Times New Roman" w:cs="Times New Roman" w:hAnsi="Times New Roman"/>
          <w:sz w:val="28"/>
          <w:szCs w:val="28"/>
        </w:rPr>
        <w:t>://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science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usue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images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docs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itogi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ceiob</w:t>
      </w:r>
      <w:r>
        <w:rPr>
          <w:rStyle w:val="Hyperlink"/>
          <w:rFonts w:ascii="Times New Roman" w:cs="Times New Roman" w:hAnsi="Times New Roman"/>
          <w:sz w:val="28"/>
          <w:szCs w:val="28"/>
        </w:rPr>
        <w:t>060922.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pdf</w:t>
      </w:r>
      <w:r>
        <w:fldChar w:fldCharType="end"/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"https://externat.foxford.ru/polezno-znat/plyusy-i-minusy-ehlektronnogo-obucheniya"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https</w:t>
      </w:r>
      <w:r>
        <w:rPr>
          <w:rStyle w:val="Hyperlink"/>
          <w:rFonts w:ascii="Times New Roman" w:cs="Times New Roman" w:hAnsi="Times New Roman"/>
          <w:sz w:val="28"/>
          <w:szCs w:val="28"/>
        </w:rPr>
        <w:t>://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externat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foxford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polezno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znat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plyusy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i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minusy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ehlektronnogo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obucheniya</w:t>
      </w:r>
      <w:r>
        <w:fldChar w:fldCharType="end"/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"https://habr.com/ru/articles/678080/"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https</w:t>
      </w:r>
      <w:r>
        <w:rPr>
          <w:rStyle w:val="Hyperlink"/>
          <w:rFonts w:ascii="Times New Roman" w:cs="Times New Roman" w:hAnsi="Times New Roman"/>
          <w:sz w:val="28"/>
          <w:szCs w:val="28"/>
        </w:rPr>
        <w:t>://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habr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com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articles</w:t>
      </w:r>
      <w:r>
        <w:rPr>
          <w:rStyle w:val="Hyperlink"/>
          <w:rFonts w:ascii="Times New Roman" w:cs="Times New Roman" w:hAnsi="Times New Roman"/>
          <w:sz w:val="28"/>
          <w:szCs w:val="28"/>
        </w:rPr>
        <w:t>/678080/</w:t>
      </w:r>
      <w:r>
        <w:fldChar w:fldCharType="end"/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"https://b-mag.ru/tendencii-razvitija-rynka-onlajn-obrazovanija-v-rossii/"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https</w:t>
      </w:r>
      <w:r>
        <w:rPr>
          <w:rStyle w:val="Hyperlink"/>
          <w:rFonts w:ascii="Times New Roman" w:cs="Times New Roman" w:hAnsi="Times New Roman"/>
          <w:sz w:val="28"/>
          <w:szCs w:val="28"/>
        </w:rPr>
        <w:t>://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mag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tendencii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razvitija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rynka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onlajn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obrazovanija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v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rossii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fldChar w:fldCharType="end"/>
      </w:r>
    </w:p>
    <w:p>
      <w:pPr>
        <w:pStyle w:val="ListParagraph"/>
        <w:numPr>
          <w:ilvl w:val="0"/>
          <w:numId w:val="1"/>
        </w:numPr>
        <w:spacing w:line="360" w:lineRule="auto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"https://4people.grfc.ru/analytics-and-legislation/case-studies/obzor-moshennichestva-s-personalnymi-dannymi-grazhdan-v-cifrovoy-srede-vtoroe-polugodie-2022-g/"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https</w:t>
      </w:r>
      <w:r>
        <w:rPr>
          <w:rStyle w:val="Hyperlink"/>
          <w:rFonts w:ascii="Times New Roman" w:cs="Times New Roman" w:hAnsi="Times New Roman"/>
          <w:sz w:val="28"/>
          <w:szCs w:val="28"/>
        </w:rPr>
        <w:t>://4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people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grfc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analytics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and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legislation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case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studies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obzor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moshennichestva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personalnymi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dannymi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grazhdan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v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cifrovoy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srede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vtoroe</w:t>
      </w:r>
      <w:r>
        <w:rPr>
          <w:rStyle w:val="Hyperlink"/>
          <w:rFonts w:ascii="Times New Roman" w:cs="Times New Roman" w:hAnsi="Times New Roman"/>
          <w:sz w:val="28"/>
          <w:szCs w:val="28"/>
        </w:rPr>
        <w:t>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polugodie</w:t>
      </w:r>
      <w:r>
        <w:rPr>
          <w:rStyle w:val="Hyperlink"/>
          <w:rFonts w:ascii="Times New Roman" w:cs="Times New Roman" w:hAnsi="Times New Roman"/>
          <w:sz w:val="28"/>
          <w:szCs w:val="28"/>
        </w:rPr>
        <w:t>-2022-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g</w:t>
      </w:r>
      <w:r>
        <w:rPr>
          <w:rStyle w:val="Hyperlink"/>
          <w:rFonts w:ascii="Times New Roman" w:cs="Times New Roman" w:hAnsi="Times New Roman"/>
          <w:sz w:val="28"/>
          <w:szCs w:val="28"/>
        </w:rPr>
        <w:t>/</w:t>
      </w:r>
      <w:r>
        <w:fldChar w:fldCharType="end"/>
      </w:r>
    </w:p>
    <w:p>
      <w:pPr>
        <w:pStyle w:val="ListParagraph"/>
        <w:spacing w:line="360" w:lineRule="auto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line="36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left="360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92"/>
    <w:rsid w:val="00015101"/>
    <w:rsid w:val="000202AA"/>
    <w:rsid w:val="00072014"/>
    <w:rsid w:val="001742C4"/>
    <w:rsid w:val="002209D5"/>
    <w:rsid w:val="00277E19"/>
    <w:rsid w:val="00307C15"/>
    <w:rsid w:val="003D4BDA"/>
    <w:rsid w:val="00414ACF"/>
    <w:rsid w:val="004849C1"/>
    <w:rsid w:val="005438AD"/>
    <w:rsid w:val="005C6967"/>
    <w:rsid w:val="00637C3A"/>
    <w:rsid w:val="006C1AC4"/>
    <w:rsid w:val="00776383"/>
    <w:rsid w:val="009B037C"/>
    <w:rsid w:val="00A31B03"/>
    <w:rsid w:val="00A771B2"/>
    <w:rsid w:val="00AB79F1"/>
    <w:rsid w:val="00C151B8"/>
    <w:rsid w:val="00C35992"/>
    <w:rsid w:val="00CA1E65"/>
    <w:rsid w:val="00CE7611"/>
    <w:rsid w:val="00D468D6"/>
    <w:rsid w:val="00E0485C"/>
    <w:rsid w:val="00E15EAC"/>
    <w:rsid w:val="00F8715A"/>
    <w:rsid w:val="00FA7687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zh-CN"/>
      </w:rPr>
    </w:rPrDefault>
    <w:pPrDefault>
      <w:pPr>
        <w:spacing w:after="200" w:line="276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spacing w:before="240" w:after="60" w:line="240" w:lineRule="auto"/>
    </w:pPr>
    <w:rPr>
      <w:rFonts w:ascii="Arial" w:cs="Times New Roman" w:eastAsia="Times New Roman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Arial" w:cs="Times New Roman" w:eastAsia="Times New Roman" w:hAnsi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6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B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9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768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2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openxmlformats.org/officeDocument/2006/relationships/image" Target="media/image2.png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7" Type="http://schemas.openxmlformats.org/officeDocument/2006/relationships/hyperlink" Target="https://tksu.ru/upload/iblock/0bf/Metodicheskoe-posobie-_-Kontseptualnye-osnovy-privedeniya-sistemy-obrazovaniya-k-zaprosam-potrebnostyam-rynka-truda.pdf" TargetMode="External"/><Relationship Id="rId8" Type="http://schemas.openxmlformats.org/officeDocument/2006/relationships/hyperlink" Target="https://science.usue.ru/images/docs/itogi/ceiob060922.pdf" TargetMode="External"/><Relationship Id="rId9" Type="http://schemas.openxmlformats.org/officeDocument/2006/relationships/hyperlink" Target="https://externat.foxford.ru/polezno-znat/plyusy-i-minusy-ehlektronnogo-obucheniya" TargetMode="External"/><Relationship Id="rId10" Type="http://schemas.openxmlformats.org/officeDocument/2006/relationships/hyperlink" Target="https://habr.com/ru/articles/678080/" TargetMode="External"/><Relationship Id="rId11" Type="http://schemas.openxmlformats.org/officeDocument/2006/relationships/hyperlink" Target="https://b-mag.ru/tendencii-razvitija-rynka-onlajn-obrazovanija-v-rossii/" TargetMode="External"/><Relationship Id="rId12" Type="http://schemas.openxmlformats.org/officeDocument/2006/relationships/hyperlink" Target="https://4people.grfc.ru/analytics-and-legislation/case-studies/obzor-moshennichestva-s-personalnymi-dannymi-grazhdan-v-cifrovoy-srede-vtoroe-polugodie-2022-g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</cp:coreProperties>
</file>