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tbl>
      <w:tblPr>
        <w:tblStyle w:val="TableGrid"/>
        <w:name w:val="Таблица1"/>
        <w:tabOrder w:val="0"/>
        <w:jc w:val="left"/>
        <w:tblInd w:w="-885" w:type="dxa"/>
        <w:tblW w:w="10456" w:type="dxa"/>
        <w:pPr>
          <w:ind w:left="-885"/>
        </w:pPr>
        <w:tblLook w:val="04A0" w:firstRow="1" w:lastRow="0" w:firstColumn="1" w:lastColumn="0" w:noHBand="0" w:noVBand="1"/>
      </w:tblPr>
      <w:tblGrid>
        <w:gridCol w:w="3687"/>
        <w:gridCol w:w="6769"/>
      </w:tblGrid>
      <w:tr>
        <w:trPr>
          <w:cantSplit w:val="0"/>
          <w:trHeight w:val="1343" w:hRule="atLeast"/>
        </w:trPr>
        <w:tc>
          <w:tcPr>
            <w:tcW w:w="3687" w:type="dxa"/>
            <w:vMerge w:val="restart"/>
            <w:tmTcPr id="1719385052" protected="0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lang w:eastAsia="ru-ru"/>
              </w:rPr>
            </w:r>
            <w:r>
              <w:rPr>
                <w:noProof/>
              </w:rPr>
              <w:drawing>
                <wp:inline distT="0" distB="0" distL="0" distR="0">
                  <wp:extent cx="1666875" cy="1666875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https://fsd.kopilkaurokov.ru/up/html/2023/09/12/k_65008262b44b4/user_file_65008263abb22_html_d94b823c30d91557.jpg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3Lt7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QQoAAEEK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769" w:type="dxa"/>
            <w:tmTcPr id="1719385052" protected="0"/>
          </w:tcPr>
          <w:p>
            <w:pPr>
              <w:spacing/>
              <w:jc w:val="center"/>
              <w:rPr>
                <w:color w:val="333333"/>
                <w:sz w:val="28"/>
                <w:szCs w:val="28"/>
                <w:shd w:val="clear" w:fill="ffffff"/>
              </w:rPr>
            </w:pPr>
            <w:r>
              <w:rPr>
                <w:color w:val="333333"/>
                <w:sz w:val="28"/>
                <w:szCs w:val="28"/>
                <w:shd w:val="clear" w:fill="ffffff"/>
              </w:rPr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cantSplit w:val="0"/>
          <w:trHeight w:val="537" w:hRule="atLeast"/>
        </w:trPr>
        <w:tc>
          <w:tcPr>
            <w:tcW w:w="3687" w:type="dxa"/>
            <w:vMerge/>
            <w:tmTcPr id="1719385052" protected="0"/>
          </w:tcPr>
          <w:p>
            <w:pPr>
              <w:spacing w:after="0" w:line="240" w:lineRule="auto"/>
            </w:pPr>
          </w:p>
        </w:tc>
        <w:tc>
          <w:tcPr>
            <w:tcW w:w="6769" w:type="dxa"/>
            <w:tmTcPr id="171938505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fill="ffffff"/>
              </w:rPr>
              <w:t>Государственное бюджетное профессиональное образовательное учреждение краснодарского края "Ейский полипрофильный колледж"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/>
              <w:jc w:val="center"/>
              <w:rPr>
                <w:color w:val="333333"/>
                <w:sz w:val="28"/>
                <w:szCs w:val="28"/>
                <w:shd w:val="clear" w:fill="ffffff"/>
              </w:rPr>
            </w:pPr>
            <w:r>
              <w:rPr>
                <w:color w:val="333333"/>
                <w:sz w:val="28"/>
                <w:szCs w:val="28"/>
                <w:shd w:val="clear" w:fill="ffffff"/>
              </w:rPr>
            </w:r>
          </w:p>
        </w:tc>
      </w:tr>
    </w:tbl>
    <w:p>
      <w:pPr>
        <w: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</w:p>
    <w:p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«Финансовая грамотность младших школьников»</w:t>
      </w:r>
    </w:p>
    <w:p>
      <w:pPr>
        <w:spacing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  <w:t>Подготовила: студентка группы Ш-21</w:t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  <w:t>Шводченко Екатерина</w:t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right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  <w:t>Ейск, 2023 г.</w:t>
      </w:r>
      <w:r/>
      <w:bookmarkStart w:id="0" w:name="_GoBack"/>
      <w:r/>
      <w:bookmarkEnd w:id="0"/>
      <w:r/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center"/>
        <w:rPr>
          <w:rFonts w:ascii="Times New Roman" w:hAnsi="Times New Roman" w:cs="Times New Roman"/>
          <w:sz w:val="32"/>
          <w:szCs w:val="48"/>
        </w:rPr>
      </w:pPr>
      <w:r>
        <w:rPr>
          <w:rFonts w:ascii="Times New Roman" w:hAnsi="Times New Roman" w:cs="Times New Roman"/>
          <w:sz w:val="32"/>
          <w:szCs w:val="48"/>
        </w:rPr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Проблема экономической безграмотности населения становится с каждым годом все ясней и ясней. Многие люди вкладывают все свои сбережения в финансовые пирамиды, тем самым теряя деньги, кто-то берет не подъемные кредиты, ипотеки, после чего живут долгое время  впроголодь, а некоторые просто неразумно растрачивают свой бюджет, под конец оставаясь с носом. Поэтому важность экономического воспитания сложно преуменьшить. Лучше будет, если дети узнают о финансовой грамотности еще в малом возрасте, чем, будучи во взрослой жизни они столкнуться с денежными проблемами. Давайте же разберем это направление воспитания.</w:t>
      </w:r>
    </w:p>
    <w:p>
      <w:pPr>
        <w:spacing w:line="330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  <w:shd w:val="clear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Экономическое воспитание 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>- это </w:t>
      </w:r>
      <w:r>
        <w:rPr>
          <w:rFonts w:ascii="Times New Roman" w:hAnsi="Times New Roman" w:cs="Times New Roman"/>
          <w:bCs/>
          <w:sz w:val="28"/>
          <w:szCs w:val="28"/>
          <w:shd w:val="clear" w:fill="ffffff"/>
        </w:rPr>
        <w:t>педагогический процесс, формирующий экономические качества и свойства личности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>. К ним относятся: экономическое мышление, поведение, сознание, ценности, способности, потребности, интересы, установки, планы, мотивы, нормы, стандарты, привычки, компетенции, экономические чувства.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 Цель данного направления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 воспитания – формирование и развитие качеств личности на основе экономических знаний, умений и навыков, а также закрепление определенных образцов поведения в экономической системе.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 Так же выделяются такие задачи, как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формирование системы экономических знаний, представлений об экономике и социально-экономических ценностях, формирование экономической картины мира, формирование экономического отношения к труду, деятельности, природным ресурсам, формирование коммуникативной потребности, формирование навыков экономической деятельности студентов.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Основными путями осуществления задач данного направления воспитания являются - 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>кружки экономики, ученические научные общества, общественно-полезный труд, читательские конференции, диспуты, ученические конференции, беседы, тематические стенды, вечера вопросов и ответов, экскурсии и походы, стенгазеты.</w:t>
      </w:r>
      <w:r>
        <w:rPr>
          <w:rFonts w:ascii="Times New Roman" w:hAnsi="Times New Roman" w:cs="Times New Roman"/>
          <w:sz w:val="28"/>
          <w:szCs w:val="28"/>
          <w:shd w:val="clear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/>
        </w:rPr>
      </w:r>
    </w:p>
    <w:p>
      <w:pPr>
        <w:spacing w:line="330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fill="ffffff"/>
        </w:rPr>
        <w:tab/>
        <w:t xml:space="preserve">И так, что можно сказать в итоге? Экономическое воспитание – неотъемлемая часть современной жизни, т. к. от той информации, которую оно преподносит, зависит благополучие общество, его крепость и надежность. </w:t>
      </w:r>
      <w:r>
        <w:rPr>
          <w:rFonts w:ascii="Times New Roman" w:hAnsi="Times New Roman" w:cs="Times New Roman"/>
          <w:sz w:val="28"/>
          <w:szCs w:val="28"/>
        </w:rPr>
      </w:r>
    </w:p>
    <w:p>
      <w:r/>
    </w:p>
    <w:p>
      <w:r/>
    </w:p>
    <w:p>
      <w:r/>
    </w:p>
    <w:p>
      <w:pPr>
        <w: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</w:r>
    </w:p>
    <w:p>
      <w:pPr>
        <w:spacing/>
        <w:jc w:val="center"/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1 класс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1) Форма: игра "Магазин игрушек"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"Покупаем и продаем"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Цель: Развитие практических навыков счета, определения стоимости товара, планирования расходов.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Описание: В классе организуется "магазин игрушек" с разными игрушками и ценниками. Дети получают "карманные деньги" (игрушечные монеты). Они могут выбирать товары, считать стоимость, сдавать деньги.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2) Форма: классный час "Копилка дружбы"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"Как копить деньги"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Цель: Понимание значения сбережений, формирование привычки откладывать деньги, установление целей для сбережений.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Описание: Классный руководитель рассказывает историю о копилке и том, как можно копить деньги, чтобы купить что-то важное. Дети могут придумать истории о своих копилках.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1) Форма: игра "Банк игрушек"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"Вкладываем деньги"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Цель: Понимание принципа работы банка, развитие понимания понятий "проценты", "вклад", "сбережения".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Описание: Класс делится на "клиентов" и "банкиров". Клиенты вносят "деньги" в банк (игрушечные монеты), банкиры выдают "чеки" и считают "проценты" на вклад.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2) Форма: классный час "Я и моя семья"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"Как наша семья распоряжается деньгами"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Цель: Развитие понимания семейного бюджета, понятия "расходы", "доходы", "планирование".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Описание: Классный руководитель обсуждает с детьми, как в их семье распределяются деньги, куда они тратятся, как планируются расходы. Дети могут поделиться своим опытом в расходовании карманных денег.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3 класс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1) Форма: ролевая игра "Магазин продуктов"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"Рассчитываем покупки"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Цель: Развитие практических навыков планирования покупок, сравнения цен, счета стоимости товаров.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Описание: В классе организуется "магазин продуктов" с модельными товарами и ценниками. Дети получают "список покупок" и "деньги". Они должны выбрать продукты, сравнить цены, считать стоимость покупок, расплатиться и получить сдачу.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2) Форма: классный час "Финансовая карта"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"Как управлять карманными деньгами"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Цель: Понимание важности планирования расходов, формирование навыков счета, ведения простого финансового учета.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Описание: Классный руководитель знакомит детей с понятием "финансовая карта" (простой бюджет на неделю), объясняет, как можно планировать свои расходы, откладывать деньги. Дети могут составить свою собственную финансовую карту.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1) Форма: "Финансовый квест"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"Путешествие в мир финансов"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Цель: Развитие знаний о финансовых институтах, понятий "кредит", "вклад", "инвестиции", "бизнес".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Описание: Класс делится на команды. Каждая команда получает задание по финансовой тематике: найти информацию о кредите, вкладе, бизнесе, решить финансовую задачу. Победители определяются по количеству правильно выполненных заданий.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2) Форма: классный час "Мой финансовый план"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Тема: "Как достичь финансовой цели"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• Цель: Формирование навыков планирования финансов, постановки финансовых целей, составления финансового плана.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• Описание: Классный руководитель знакомит детей с понятием "финансовый план", объясняет, как можно планировать свои расходы, откладывать деньги, чтобы достичь финансовой цели. Дети могут составить свой личный финансовый план.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8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938505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/>
  <cp:revision>18</cp:revision>
  <dcterms:created xsi:type="dcterms:W3CDTF">2023-12-12T16:12:00Z</dcterms:created>
  <dcterms:modified xsi:type="dcterms:W3CDTF">2024-06-26T06:57:32Z</dcterms:modified>
</cp:coreProperties>
</file>