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08" w:rsidRDefault="00853408" w:rsidP="0085340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853408" w:rsidRDefault="00853408" w:rsidP="0085340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</w:t>
      </w:r>
    </w:p>
    <w:p w:rsidR="00853408" w:rsidRPr="00853408" w:rsidRDefault="00853408" w:rsidP="0085340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853408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Актуальность дидактических игр</w:t>
      </w:r>
    </w:p>
    <w:p w:rsidR="00853408" w:rsidRDefault="00853408" w:rsidP="008534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853408" w:rsidRDefault="00853408" w:rsidP="008534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853408" w:rsidRDefault="00853408" w:rsidP="0085340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853408" w:rsidRPr="00853408" w:rsidRDefault="00853408" w:rsidP="008534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8534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Время и развитие не стоит на месте. На сегодняшний день нашему времени нужны люди творческие, мыслящие, умеющие принимать нестандартные решения. Все это можно сформировать у человека в дошкольном возрасте с помощью игры.</w:t>
      </w:r>
    </w:p>
    <w:p w:rsidR="00853408" w:rsidRPr="00853408" w:rsidRDefault="00853408" w:rsidP="008534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>Все виды дидактических игр (предметные, настольно-печатные, словесные и др.) являются эффективным средством и методом формирования мышления у детей во всех возрастных группах. Используя разнообразные дидактические игры, благодаря обучающей задаче, ребенок непреднамеренно усваивает определенную «порцию» познавательного содержания.</w:t>
      </w:r>
    </w:p>
    <w:p w:rsidR="00853408" w:rsidRPr="00853408" w:rsidRDefault="00853408" w:rsidP="008534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>В настоящее время разработана система так называемых обучающих игр. Рассмотрим пример игр, ориентированных на формирование у детей математических понятий, которые учат оперировать обобщенными представлениями, формируют логические структуры мышления.</w:t>
      </w:r>
    </w:p>
    <w:p w:rsidR="00853408" w:rsidRPr="00853408" w:rsidRDefault="00853408" w:rsidP="008534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>Обучение основам математики состоит из взаимосвязанных и взаимообусловленных представлений о пространстве, форме, величине, времени, количестве, их свойствах и отношениях, которые необходимы для формирования у ребенка «житейских» и «научных» понятий.</w:t>
      </w:r>
    </w:p>
    <w:p w:rsidR="00853408" w:rsidRPr="00853408" w:rsidRDefault="00853408" w:rsidP="008534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>Считаю, что юный "Математик" лучше умеет обосновать свою позицию, последовательнее и точнее излагает мысли, лучше планирует свою деятельность.</w:t>
      </w:r>
    </w:p>
    <w:p w:rsidR="00853408" w:rsidRPr="00853408" w:rsidRDefault="00853408" w:rsidP="00853408">
      <w:pPr>
        <w:shd w:val="clear" w:color="auto" w:fill="FFFFFF"/>
        <w:spacing w:after="150" w:line="240" w:lineRule="auto"/>
        <w:ind w:right="232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>Дидактические игры по формированию математических представлений условно делятся на следующие группы: игры с цифрами и числами, игры путешествие во времени, игры на ориентирование в пространстве, игры с геометрическими фигурами, игры на логическое мышление.</w:t>
      </w:r>
    </w:p>
    <w:p w:rsidR="00853408" w:rsidRPr="00853408" w:rsidRDefault="00853408" w:rsidP="008534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>Игра выступает, как метод обучения и может быть отнесена к практическим методам. Очень важно, что игра – это не только способ и средство обучения, это еще и радость, и удовольствие для ребенка. Все дети любят играть, и от взрослого зависит, насколько эти игры будут содержательными и полезными.</w:t>
      </w:r>
    </w:p>
    <w:p w:rsidR="00853408" w:rsidRPr="00853408" w:rsidRDefault="00853408" w:rsidP="0085340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 xml:space="preserve">Исследования советских педагогов показали, что организованное обучение на занятиях является продуктивным. Естественно, что с введением обучения в детском саду изменилась и </w:t>
      </w:r>
      <w:proofErr w:type="gramStart"/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>роль</w:t>
      </w:r>
      <w:proofErr w:type="gramEnd"/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 xml:space="preserve"> и место дидактической игры. Она стала одним из средств расширения и закрепления знаний, которые получают дети на занятиях.</w:t>
      </w:r>
    </w:p>
    <w:p w:rsidR="00853408" w:rsidRPr="00853408" w:rsidRDefault="00853408" w:rsidP="0085340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>Список литературы:</w:t>
      </w:r>
    </w:p>
    <w:p w:rsidR="00853408" w:rsidRPr="00853408" w:rsidRDefault="00853408" w:rsidP="00853408">
      <w:pPr>
        <w:shd w:val="clear" w:color="auto" w:fill="FFFFFF"/>
        <w:spacing w:after="150" w:line="240" w:lineRule="auto"/>
        <w:ind w:left="-173" w:right="168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 xml:space="preserve"> 1. А.Е. Носова, Р.Л.Непомнящая. Логика и математика для дошкольников - </w:t>
      </w:r>
      <w:proofErr w:type="gramStart"/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>СПб.:</w:t>
      </w:r>
      <w:proofErr w:type="gramEnd"/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 xml:space="preserve"> ТОО "Акцент", 1997.</w:t>
      </w:r>
    </w:p>
    <w:p w:rsidR="00853408" w:rsidRPr="00853408" w:rsidRDefault="00853408" w:rsidP="00853408">
      <w:pPr>
        <w:shd w:val="clear" w:color="auto" w:fill="FFFFFF"/>
        <w:spacing w:after="150" w:line="240" w:lineRule="auto"/>
        <w:ind w:left="-173" w:right="208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> 2. Б.Н. Панова. Дидактические игры - занятия в ДОУ - Воронеж: ТЦ "Учитель", 2007.</w:t>
      </w:r>
    </w:p>
    <w:p w:rsidR="00853408" w:rsidRPr="00853408" w:rsidRDefault="00853408" w:rsidP="00853408">
      <w:pPr>
        <w:shd w:val="clear" w:color="auto" w:fill="FFFFFF"/>
        <w:spacing w:after="150" w:line="240" w:lineRule="auto"/>
        <w:ind w:left="-173" w:right="208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>3. «Умом и сердцем: Мысли о воспитании». 4-е изд. доп. м. Политиздат, 1986. 368с.</w:t>
      </w:r>
    </w:p>
    <w:p w:rsidR="00853408" w:rsidRPr="00853408" w:rsidRDefault="00853408" w:rsidP="00853408">
      <w:pPr>
        <w:shd w:val="clear" w:color="auto" w:fill="FFFFFF"/>
        <w:spacing w:after="150" w:line="240" w:lineRule="auto"/>
        <w:ind w:left="-173" w:right="208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>4. А.К. Бондаренко. Дидактические игры в детском саду – М.: Просвещение, 2008.</w:t>
      </w:r>
    </w:p>
    <w:p w:rsidR="00853408" w:rsidRPr="00853408" w:rsidRDefault="00853408" w:rsidP="00853408">
      <w:pPr>
        <w:shd w:val="clear" w:color="auto" w:fill="FFFFFF"/>
        <w:spacing w:after="150" w:line="240" w:lineRule="auto"/>
        <w:ind w:left="-173" w:right="208"/>
        <w:rPr>
          <w:rFonts w:ascii="Helvetica" w:eastAsia="Times New Roman" w:hAnsi="Helvetica" w:cs="Helvetica"/>
          <w:color w:val="333333"/>
          <w:lang w:eastAsia="ru-RU"/>
        </w:rPr>
      </w:pPr>
      <w:r w:rsidRPr="00853408">
        <w:rPr>
          <w:rFonts w:ascii="Times New Roman" w:eastAsia="Times New Roman" w:hAnsi="Times New Roman" w:cs="Times New Roman"/>
          <w:color w:val="333333"/>
          <w:lang w:eastAsia="ru-RU"/>
        </w:rPr>
        <w:t>5. Н.Е. Веракса «От рождения до школы»: Основная образовательная программа дошкольного образования/ под редакцией Вераксы Н.Е., Комаровой Т.С., Васильевой М.А.</w:t>
      </w:r>
      <w:bookmarkStart w:id="0" w:name="_GoBack"/>
      <w:bookmarkEnd w:id="0"/>
    </w:p>
    <w:sectPr w:rsidR="00853408" w:rsidRPr="0085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48"/>
    <w:rsid w:val="00853408"/>
    <w:rsid w:val="00B23CFB"/>
    <w:rsid w:val="00C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848C8-FFAC-4636-BD55-C53A6A76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2024-06-15T11:49:00Z</dcterms:created>
  <dcterms:modified xsi:type="dcterms:W3CDTF">2024-06-15T11:51:00Z</dcterms:modified>
</cp:coreProperties>
</file>