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jc w:val="center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«Развитие связной речи по средствам дидактических игр в коррекционной работе».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Хорошая речь – важное условие развития личности ребёнка</w:t>
      </w:r>
      <w:bookmarkStart w:id="0" w:name="_GoBack"/>
      <w:bookmarkEnd w:id="0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. Чем богаче и правильнее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у ребенка речь, тем легче высказывать ему свои мысли, тем шире его возможности 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в</w:t>
      </w:r>
      <w:proofErr w:type="gramEnd"/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познании окружающего мира, содержательнее и полноценнее отношения 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со</w:t>
      </w:r>
      <w:proofErr w:type="gramEnd"/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сверстниками и взрослыми, тем активнее осуществляется его психическое развитие.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Но речь ребёнка не является врождённой функцией. Она развивается постепенно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,</w:t>
      </w:r>
      <w:proofErr w:type="gramEnd"/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вместе с его ростом и развитием. Речь необходимо формировать и развивать 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в</w:t>
      </w:r>
      <w:proofErr w:type="gramEnd"/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комплексе с общим развитием ребёнка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.</w:t>
      </w:r>
      <w:proofErr w:type="gramEnd"/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Гораздо успешнее это осуществлять, используя игры. Так как в дошкольном возрасте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игровая деятельность является ведущей.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Дидактическая игра – прекрасное средство обучения и развития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,</w:t>
      </w:r>
      <w:proofErr w:type="gramEnd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используемое при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усвоении</w:t>
      </w:r>
      <w:proofErr w:type="gramEnd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любого программного материала. Специально подобранные игры и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упражнения дают возможность благоприятно воздействовать на все компоненты речи.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В игре ребенок получает возможность обогащать и закреплять словарь, формировать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грамматические категории, развивать связную речь, расширять знания 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об</w:t>
      </w:r>
      <w:proofErr w:type="gramEnd"/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окружающем мире, развивать словесное творчество, развивать 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коммуникативные</w:t>
      </w:r>
      <w:proofErr w:type="gramEnd"/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навыки.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Виды дидактических игр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sym w:font="Symbol" w:char="F0B7"/>
      </w: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Настольно – печатные игры используются как наглядные пособия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,</w:t>
      </w:r>
      <w:proofErr w:type="gramEnd"/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направленные на развитие зрительной памяти и внимания: «Что </w:t>
      </w:r>
      <w:proofErr w:type="spell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растѐт</w:t>
      </w:r>
      <w:proofErr w:type="spellEnd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в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саду, лесу, огороде?», «Что сначала, что потом?»,</w:t>
      </w:r>
      <w:r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«Что кому нужно?»,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«Лото».</w:t>
      </w:r>
      <w:r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«Логический поезд», «Где это я видел?» и др.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sym w:font="Symbol" w:char="F0B7"/>
      </w: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Игры с предметами или игрушками направлены на развитие 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тактильных</w:t>
      </w:r>
      <w:proofErr w:type="gramEnd"/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ощущений, умение манипулировать с различными предметами и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игрушками, развитие творческого мышления и воображения: «Что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изменилось?»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,</w:t>
      </w:r>
      <w:proofErr w:type="gramEnd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«Найди и назови», «Магазин»,</w:t>
      </w:r>
      <w:r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«Чьи это детки»,</w:t>
      </w:r>
      <w:r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«Кто скорее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соберет?» и др.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sym w:font="Symbol" w:char="F0B7"/>
      </w: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Словесные игры способствуют развитию слуховой памяти, внимания,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коммуникативных способностей, а также развитию связной речи.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«Кому что нужно?», «Назови три предмета», «Назови одним словом». «Похож 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–н</w:t>
      </w:r>
      <w:proofErr w:type="gramEnd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е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похож», »Кто больше заметит небылиц». А что потом?», «Так бывает или нет?» и др.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Для большинства детей ведущий канал восприятия окружающего мира – зрительный,</w:t>
      </w:r>
    </w:p>
    <w:p w:rsidR="00593BC6" w:rsidRPr="00593BC6" w:rsidRDefault="00593BC6" w:rsidP="00593BC6">
      <w:pPr>
        <w:shd w:val="clear" w:color="auto" w:fill="FFFFFF"/>
        <w:ind w:left="1418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что ещё раз подчёркивает необходимость включения в систему работы приёмов и методов активизации зрительного анализатора.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lastRenderedPageBreak/>
        <w:t>Применение дидактических игр и упражнений, направленных на стимуляцию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зрительного восприятия в комплексе с предметной деятельностью, способствуют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формированию у детей положительной мотивации к развитию речи – важному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условию реализации любой деятельности.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Игровые </w:t>
      </w:r>
      <w:proofErr w:type="spellStart"/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при</w:t>
      </w:r>
      <w:proofErr w:type="gramEnd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ѐмы</w:t>
      </w:r>
      <w:proofErr w:type="spellEnd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с обычными игрушками можно использовать в своей работе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элементарным математическим представлениям, ознакомлению с окружающим,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развитию речи и в других режимных моментах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Игры с мячом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В обогащении речи ребенка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,</w:t>
      </w:r>
      <w:proofErr w:type="gramEnd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в уточнении уже имеющихся у него слов,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пополнении знаний об окружающем мире, большое значение имеют игры 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с</w:t>
      </w:r>
      <w:proofErr w:type="gramEnd"/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мячом. Эти игры также способствуют развитию моторных навыков у детей. Игры 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с</w:t>
      </w:r>
      <w:proofErr w:type="gramEnd"/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мячом 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универсальны</w:t>
      </w:r>
      <w:proofErr w:type="gramEnd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и разнообразны.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«Мяч бросай и животных называй», «Мяч бросай, четко фрукты называй»,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«Кто где живет?», «Скажи ласково», «Что происходит в природе?», «Составь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предложение»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,</w:t>
      </w:r>
      <w:proofErr w:type="gramEnd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«Подскажи словечко», «Четвёртый лишний», «Веселый счет» и т.д.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Недостаточное развитие фонематического восприятия приводит к тому, что у детей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самостоятельно не формируется готовность к звуковому анализу слов, что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впоследствии не позволит им успешно овладеть грамотой в школе.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Дидактическая игра «Звуковая полянка».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Дидактическое пособие «Звуковая улитка».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Таким образом, использование дидактических игр и упражнений </w:t>
      </w:r>
      <w:proofErr w:type="spell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даѐт</w:t>
      </w:r>
      <w:proofErr w:type="spellEnd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большие</w:t>
      </w:r>
      <w:proofErr w:type="gramEnd"/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возможности для развития речи у детей - дошкольников: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 xml:space="preserve">повышается речевая мотивация, успешно развиваются </w:t>
      </w:r>
      <w:proofErr w:type="gramStart"/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коммуникативные</w:t>
      </w:r>
      <w:proofErr w:type="gramEnd"/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навыки;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обеспечивается психологический комфорт;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дети запоминают большое количество речевого материала;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активизируются высшие психические функции (память, внимание, мышление)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Дидактические игры универсальны и их разнообразие и наполнение содержанием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593BC6">
        <w:rPr>
          <w:rFonts w:eastAsia="Times New Roman" w:cstheme="minorHAnsi"/>
          <w:color w:val="1A1A1A"/>
          <w:sz w:val="28"/>
          <w:szCs w:val="28"/>
          <w:lang w:eastAsia="ru-RU"/>
        </w:rPr>
        <w:t>зависит только от вашей фантазии и желания работать с детьми весело и интересно.</w:t>
      </w:r>
    </w:p>
    <w:p w:rsidR="00593BC6" w:rsidRPr="00593BC6" w:rsidRDefault="00593BC6" w:rsidP="00593BC6">
      <w:pPr>
        <w:shd w:val="clear" w:color="auto" w:fill="FFFFFF"/>
        <w:spacing w:after="0" w:line="240" w:lineRule="auto"/>
        <w:ind w:left="1134" w:firstLine="284"/>
        <w:rPr>
          <w:rFonts w:eastAsia="Times New Roman" w:cstheme="minorHAnsi"/>
          <w:color w:val="1A1A1A"/>
          <w:sz w:val="28"/>
          <w:szCs w:val="28"/>
          <w:lang w:eastAsia="ru-RU"/>
        </w:rPr>
      </w:pPr>
    </w:p>
    <w:p w:rsidR="0036244B" w:rsidRPr="00593BC6" w:rsidRDefault="0036244B" w:rsidP="00593BC6">
      <w:pPr>
        <w:ind w:left="1134" w:firstLine="284"/>
        <w:rPr>
          <w:rFonts w:cstheme="minorHAnsi"/>
          <w:sz w:val="28"/>
          <w:szCs w:val="28"/>
        </w:rPr>
      </w:pPr>
    </w:p>
    <w:sectPr w:rsidR="0036244B" w:rsidRPr="00593BC6" w:rsidSect="00593BC6">
      <w:pgSz w:w="11906" w:h="16838" w:code="9"/>
      <w:pgMar w:top="1276" w:right="284" w:bottom="253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C6"/>
    <w:rsid w:val="00157839"/>
    <w:rsid w:val="0036244B"/>
    <w:rsid w:val="0059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3352</Characters>
  <Application>Microsoft Office Word</Application>
  <DocSecurity>0</DocSecurity>
  <Lines>27</Lines>
  <Paragraphs>7</Paragraphs>
  <ScaleCrop>false</ScaleCrop>
  <Company>HP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2024-06-18T04:23:00Z</dcterms:created>
  <dcterms:modified xsi:type="dcterms:W3CDTF">2024-06-18T04:27:00Z</dcterms:modified>
</cp:coreProperties>
</file>