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numPr>
          <w:ilvl w:val="0"/>
          <w:numId w:val="0"/>
        </w:numPr>
        <w:shd w:val="clear" w:color="auto" w:fill="FFFFFF"/>
        <w:spacing w:lineRule="auto" w:line="360"/>
        <w:ind w:left="0" w:right="0" w:hanging="0"/>
        <w:jc w:val="center"/>
        <w:outlineLvl w:val="0"/>
        <w:rPr>
          <w:rFonts w:ascii="Times New Roman" w:hAnsi="Times New Roman"/>
          <w:sz w:val="24"/>
          <w:szCs w:val="24"/>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Активизация мыслительной деятельности учащихся при изучении </w:t>
      </w:r>
      <w:r>
        <w:rPr>
          <w:rFonts w:cs="Times New Roman" w:ascii="Times New Roman" w:hAnsi="Times New Roman"/>
          <w:sz w:val="28"/>
          <w:szCs w:val="28"/>
        </w:rPr>
        <w:t>истории</w:t>
      </w:r>
      <w:r>
        <w:rPr>
          <w:rFonts w:cs="Times New Roman" w:ascii="Times New Roman" w:hAnsi="Times New Roman"/>
          <w:sz w:val="28"/>
          <w:szCs w:val="28"/>
        </w:rPr>
        <w:t xml:space="preserve"> в классах ОВЗ</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Учащимся постоянно напоминают, что изучаемый материал надо, прежде всего, хорошо понять. Но какую мыслительную деятельность должны для этого выполнять учащиеся? На этот вопрос, как правило, им не дают никаких разъяснений. Только владея определенными приемами мыслительной деятельности, учащийся может логически, с должным пониманием запомнить программный материал. В противном случае он прибегает к "зубрежке". Взрослый человек обладает определенными умениями и навыками и может не отдавать себе отчета в том, каким образом он запоминает, что делает для того, чтобы понять материал. Учителю же, для того чтобы объяснить учащимся, как запомнить и понять изучаемый материал, необходимо знать и сущность приемов запоминания и методические пути, помогающие учащимся овладевать этими приемами. Особенно это касается классов с задержкой психического развития (ЗПР). Так как по основной закономерности памяти важнейшими условиями успешного, не механического запоминания являются понимание материала и активные формы мыслительной деятельности, то все приемы запоминания сводятся к тому, чтобы на основе активных интеллектуальных действий как можно глубже, полнее и отчетливее понять материал. Значит, приемы активной мыслительной деятельности над материалом являются одновременно и приемами понимания, и приемами запоминания. Отсюда ясно, что учить работе с книгой, обучать умению слушать объяснения – это значит, прежде всего, приучать учащихся пользоваться различными приемами мыслительной деятельности.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Рассмотрим сущность приемов мыслительной деятельности и возможные пути их использования.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Прием использования стимулирующих звеньев. Пусть у учащегося надо сформировать связь двух мыслей, т.е. ассоциацию, такую, чтобы осознание им вопроса "А" мгновенно влекло бы ответ "В". Этого можно добиться либо путем непосредственного и неоднократного повторения друг за другом этих мыслей, либо "вклиниванием" между ними промежуточного процесса – стимулирующего звена. В одних случаях удобен первый из этих способов. Например, им учащиеся пользуются при заучивании стихотворений. Однако некоторые учащиеся точно таким же образом заучивают определения, т</w:t>
      </w:r>
      <w:r>
        <w:rPr>
          <w:rFonts w:cs="Times New Roman" w:ascii="Times New Roman" w:hAnsi="Times New Roman"/>
          <w:sz w:val="28"/>
          <w:szCs w:val="28"/>
        </w:rPr>
        <w:t>ермины</w:t>
      </w:r>
      <w:r>
        <w:rPr>
          <w:rFonts w:cs="Times New Roman" w:ascii="Times New Roman" w:hAnsi="Times New Roman"/>
          <w:sz w:val="28"/>
          <w:szCs w:val="28"/>
        </w:rPr>
        <w:t xml:space="preserve">, весь заданный параграф учебника, что очень плохо. В других случаях более удобен второй способ, т.е. прием использования стимулирующих звеньев. Он состоит в следующем. Многократное, неизменное, механическое повторение мыслей стараются заменить повторяющимися упражнениями одного и того же типа. В этих упражнениях между данными мыслями "А" и "В" учащиеся "вклинивают" какие-то промежуточные рассуждения, которые углубляют понимание изучаемого материала и активизируют мыслительную деятельность. В результате неоднократного повторения с промежуточными рассуждениями "М" у учащегося образуется две очень прочные ассоциации (А; М; В) или одна ассоциация (А; В), если промежуточные рассуждения "свертываются". В обоих случаях учащиеся не только легко, быстро и верно отвечают на вопрос "А", но и при необходимости свободно развертывают свои рассуждения до полного и обоснованного ответа по схеме "А – М – В".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Прием реконструкции. Известно, что многие учащиеся стремятся пересказать материал заданного параграфа учебника близко к тексту. Слово в слово повторяя одни фрагменты учебника, они в то же время пропускают другие, теряя важные взаимосвязи в изученном материале и зачастую искажая его. Взрослые же, наоборот, останавливаясь прежде всего на главном и опуская излишние подробности, стараются излагать изученный материал по-своему, иными словами. И чем лучше материал понят, тем легче это удается. Такие резкие различия в работе над изучаемым материалом объясняются не возрастными особенностями, а тем, что учащиеся не владеют очень важным мыслительным приемом реконструкции. В процессе запоминания и последующего воспроизведения материал часто подвергается изменениям. Любое эквивалентное изменение материала называют реконструкцией. Частными случаями реконструкции являются обобщение материала, его конкретизация, перемещение отдельных частей подлинника и т. д. Чтобы реконструировать, но не исказить изучаемый материал, учащийся должен хорошо его понять в результате активной мыслительной деятельности, и тогда материал хорошо усваивается. Пользуясь приемом реконструкции, учащийся постепенно избавляется от вредной привычки – бездумной "зубрежки". Полезно при чтении новой темы по учебнику учить составлять тезисы, излагать материал в развернутом или сокращенном виде, приводить свои примеры, обобщать, сравнивать. Когда учащиеся воспроизводят определения, т</w:t>
      </w:r>
      <w:r>
        <w:rPr>
          <w:rFonts w:cs="Times New Roman" w:ascii="Times New Roman" w:hAnsi="Times New Roman"/>
          <w:sz w:val="28"/>
          <w:szCs w:val="28"/>
        </w:rPr>
        <w:t>ермины</w:t>
      </w:r>
      <w:r>
        <w:rPr>
          <w:rFonts w:cs="Times New Roman" w:ascii="Times New Roman" w:hAnsi="Times New Roman"/>
          <w:sz w:val="28"/>
          <w:szCs w:val="28"/>
        </w:rPr>
        <w:t xml:space="preserve">, то желательно, чтобы формулировки они сопровождали своими примерами и контрпримерами. Следует поощрять попытки формулировать определения, аксиомы своими словами. Реконструировать материал учебника – это непростое дело, и этому надо специально учить. Особенно много ошибок допускают школьники при реконструкции определений. Объясняя, как строятся определения, нужно показать на примерах, каким образом одному и тому же понятию можно дать различные определения.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Прием прогнозирования. Решая любую задачу, человеку приходится постоянно предвидеть ход событий и на основе анализа, синтеза, обобщения ситуации, создавшейся на данный момент, регулировать и корректировать свою последующую деятельность, прогнозировать ее результаты. Соответствующий прием мыслительной деятельности называют прогнозированием. Чтобы учить его применению, мы перед чтением того или иного абзаца </w:t>
      </w:r>
      <w:r>
        <w:rPr>
          <w:rFonts w:cs="Times New Roman" w:ascii="Times New Roman" w:hAnsi="Times New Roman"/>
          <w:sz w:val="28"/>
          <w:szCs w:val="28"/>
        </w:rPr>
        <w:t xml:space="preserve">параграфа </w:t>
      </w:r>
      <w:r>
        <w:rPr>
          <w:rFonts w:cs="Times New Roman" w:ascii="Times New Roman" w:hAnsi="Times New Roman"/>
          <w:sz w:val="28"/>
          <w:szCs w:val="28"/>
        </w:rPr>
        <w:t xml:space="preserve">,  предлагаем учащимся подумать, попытаться предсказать, что именно мы сейчас сможем увидеть, прочитать, . И пусть они, опираясь на знания, пофантазируют, поспорят о своих предположениях, а затем, читая текст книги, проверят их.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Прием соотнесения. Он сводится к увязыванию изучаемого материала с прежними знаниями и отдельных частей нового друг с другом. Действия, направленные на выполнение этих задач, помогают включать новый материал в структуру прежних знаний, приводят к познанию взаимосвязей явлений и предметов, т.е. усиливают глубину и отчетливость понимания и тем самым ведут к успешному запоминанию.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Прием логического запоминания. Запоминание осуществляется тем быстрее и прочнее, чем резче выступают признаки сходства или различия между известным и изучаемым материалом, между отдельными частями нового. Важными приемами запоминания являются также обобщение, конкретизация, классификация, систематизация, применение анализа, синтеза, аналогии. Обычно школьники и без специального обучения пользуются аналогией, но далеко не всегда правильно. Обучая умению использовать аналогию в комплексе с другими приемами мыслительной деятельности, и в первую очередь с приемами сравнения и конкретизации, нужно учить школьников не только выявлять признаки сходства в рассматриваемых явлениях, объектах, задачах, но и улавливать их существенные, хотя и малозаметные различия. Надо учить умению самостоятельно приводить примеры и контрпримеры, которые подтверждают или, наоборот, опровергают вывод, сделанный по аналогии. Ученики часто ошибаются, искажают формулировки. Однако если ошибка сразу же сопровождается анализом, требующим от учащихся собранности, сообразительности, использования знаний, то она может стать полезной. Таким образом, в процессе изучения программного материала мы знакомим учащихся с различными приемами мыслительной деятельности и отрабатываем умения и навыки их применения.</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Развитие мышления учащихся многократно ускоряется и усиливается, если учитель одновременно учит умелому применению различных мыслительных приемов. Мышление учащегося проявляется в умении анализировать и синтезировать, обобщать, конкретизировать, т.е. в умении применять различные приемы мыслительной деятельности к изучаемому материалу, к решению задачи, к любой жизненной ситуации. Развитие мышления учащихся, т.е. формирование у них умений и навыков применения различных приемов мыслительной деятельности, осуществляется следующими этапами: 1) Знакомим учащихся с отдельными мыслительными приемами обязательно в процессе изучения соответствующего материала. 2) Совместно с учащимися приходим к выводу, что прием, с которым сегодня познакомились в процессе новой темы или решения задачи, не потребовал лишней траты времени. Более того, этот прием облегчил понимание. Его использование усилило интерес к изучаемому материалу. 3) Выбор того или иного мыслительного приема осуществляем в зависимости от содержания изучаемого материала. Поэтому в дальнейшем, когда учащиеся повторно встречаются с тем или иным приемом, напоминаем, что прием нам уже знаком. Далее выделяем те особенности данной и ранее изученной темы, благодаря которым целесообразно использовать именно данный прием. 4) Учим комплексному использованию различных мыслительных приемов во всевозможных комбинациях друг с другом. 5) В дальнейшем вырабатываем привычку самостоятельного применения мыслительных приемов. Для этого постоянно напоминаем целесообразности тех или иных действий, если учащиеся забывают это. Учитель постоянно напоминает, что, прочитав в книге или услышав на уроке при объяснении, при ответе товарища какое-либо утверждение, полезно проверить, действительно ли оно справедливо. Учащихся приучают сопоставлять изучаемый материал с прежними знаниями, устанавливая сходство и различия, приводить свои примеры и контрпримеры. Учащимся советуют при конспектировании располагать записи в наиболее удобной форме, различным образом оформлять свои записи, используя всевозможные символы: стрелки, подчеркивания, цветовые выделения. Чтобы учащиеся действительно выполняли перечисленные рекомендации, чтобы целенаправленно управлять их мыслительной деятельностью, целесообразно, чтобы учитель сначала ставил конкретное задание, направляющее усилия учащихся на использование определенных мыслительных процессов, а затем предлагал читать тот или иной абзац учебника, слушать объяснение. Использование этого дидактического правила открывает заманчивые перспективы развития мышления учащихся. Учитель, опираясь на закономерность, побуждает учащихся использовать те или иные мыслительные приемы. Эти приемы он сам выбирает применительно к содержанию данного материала. Тем самым учащиеся постепенно приучаются сами себе ставить подобные задания, побуждающие их применять мыслительные приемы, наиболее соответствующие содержанию изучаемого материала. Следовательно, они привыкают не просто слушать или читать, механически запоминая материал, а осмысливать, обдумывать его. Целенаправленное обучение приемами мыслительной деятельности нисколько не замедляет процесс усвоения программного материала. Наоборот, этот процесс все более и более ускоряется по мере овладения этими приемами, т.е. по мере развития мышления учащихся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yle18"/>
        <w:numPr>
          <w:ilvl w:val="0"/>
          <w:numId w:val="0"/>
        </w:numPr>
        <w:shd w:val="clear" w:color="auto" w:fill="FFFFFF"/>
        <w:spacing w:lineRule="auto" w:line="360" w:before="0" w:after="140"/>
        <w:ind w:left="2925" w:right="0" w:hanging="0"/>
        <w:jc w:val="left"/>
        <w:outlineLvl w:val="0"/>
        <w:rPr>
          <w:rFonts w:ascii="Times New Roman" w:hAnsi="Times New Roman"/>
          <w:sz w:val="24"/>
          <w:szCs w:val="24"/>
        </w:rPr>
      </w:pPr>
      <w:r>
        <w:rPr/>
      </w:r>
    </w:p>
    <w:sectPr>
      <w:type w:val="nextPage"/>
      <w:pgSz w:w="12240" w:h="15840"/>
      <w:pgMar w:left="1700" w:right="850" w:gutter="0" w:header="0" w:top="1133" w:footer="0" w:bottom="113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 w:val="22"/>
        <w:lang w:val="ru-RU" w:eastAsia="zh-CN" w:bidi="hi-IN"/>
      </w:rPr>
    </w:rPrDefault>
    <w:pPrDefault>
      <w:pPr>
        <w:suppressAutoHyphens w:val="true"/>
      </w:pPr>
    </w:pPrDefault>
  </w:docDefaults>
  <w:style w:type="paragraph" w:styleId="Normal" w:default="1">
    <w:name w:val="Normal"/>
    <w:qFormat/>
    <w:pPr>
      <w:keepNext w:val="false"/>
      <w:keepLines w:val="false"/>
      <w:widowControl/>
      <w:shd w:val="clear" w:fill="auto"/>
      <w:suppressAutoHyphens w:val="false"/>
      <w:bidi w:val="0"/>
      <w:spacing w:lineRule="auto" w:line="276" w:beforeAutospacing="0" w:before="0" w:afterAutospacing="0" w:after="200"/>
      <w:ind w:left="0" w:right="0" w:hanging="0"/>
      <w:jc w:val="left"/>
    </w:pPr>
    <w:rPr>
      <w:rFonts w:ascii="Calibri" w:hAnsi="Calibri" w:eastAsia="NSimSun" w:cs="Arial"/>
      <w:b w:val="false"/>
      <w:i w:val="false"/>
      <w:caps w:val="false"/>
      <w:smallCaps w:val="false"/>
      <w:strike w:val="false"/>
      <w:dstrike w:val="false"/>
      <w:vanish w:val="false"/>
      <w:color w:val="auto"/>
      <w:kern w:val="0"/>
      <w:position w:val="0"/>
      <w:sz w:val="22"/>
      <w:sz w:val="22"/>
      <w:szCs w:val="20"/>
      <w:u w:val="none"/>
      <w:vertAlign w:val="baseline"/>
      <w:lang w:val="ru-RU" w:eastAsia="zh-CN" w:bidi="hi-IN"/>
    </w:rPr>
  </w:style>
  <w:style w:type="character" w:styleId="DefaultParagraphFont" w:default="1">
    <w:name w:val="Default Paragraph Font"/>
    <w:semiHidden/>
    <w:qFormat/>
    <w:rPr/>
  </w:style>
  <w:style w:type="character" w:styleId="Style14">
    <w:name w:val="Нумерация строк"/>
    <w:basedOn w:val="DefaultParagraphFont"/>
    <w:semiHidden/>
    <w:rPr/>
  </w:style>
  <w:style w:type="character" w:styleId="Style15">
    <w:name w:val="Интернет-ссылка"/>
    <w:rPr>
      <w:color w:val="0000FF"/>
      <w:u w:val="single"/>
    </w:rPr>
  </w:style>
  <w:style w:type="character" w:styleId="Style16">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qFormat/>
    <w:pPr>
      <w:spacing w:before="0" w:after="200"/>
      <w:ind w:left="720" w:right="0" w:hanging="0"/>
      <w:contextualSpacing/>
    </w:pPr>
    <w:rPr/>
  </w:style>
  <w:style w:type="paragraph" w:styleId="NoSpacing">
    <w:name w:val="No Spacing"/>
    <w:qFormat/>
    <w:pPr>
      <w:widowControl/>
      <w:suppressAutoHyphens w:val="true"/>
      <w:bidi w:val="0"/>
      <w:spacing w:lineRule="auto" w:line="240" w:before="0" w:after="0"/>
      <w:jc w:val="left"/>
    </w:pPr>
    <w:rPr>
      <w:rFonts w:ascii="Calibri" w:hAnsi="Calibri" w:eastAsia="NSimSun" w:cs="Arial"/>
      <w:color w:val="auto"/>
      <w:kern w:val="0"/>
      <w:sz w:val="22"/>
      <w:szCs w:val="20"/>
      <w:lang w:val="ru-RU" w:eastAsia="zh-CN" w:bidi="hi-IN"/>
    </w:rPr>
  </w:style>
  <w:style w:type="table" w:default="1" w:styleId="T0">
    <w:name w:val="Normal Table"/>
    <w:tblPr>
      <w:tblCellMar>
        <w:top w:w="0" w:type="dxa"/>
        <w:left w:w="108" w:type="dxa"/>
        <w:bottom w:w="0" w:type="dxa"/>
        <w:right w:w="108" w:type="dxa"/>
      </w:tblCellMar>
    </w:tblPr>
  </w:style>
  <w:style w:type="table" w:styleId="T1">
    <w:name w:val="Table Simple 1"/>
    <w:basedOn w:val="T0"/>
    <w:tblPr>
      <w:tblBorders>
        <w:top w:val="single" w:color="000000" w:themeTint="0" w:sz="4" w:space="0"/>
        <w:left w:val="single" w:color="000000" w:themeTint="0" w:sz="4" w:space="0"/>
        <w:bottom w:val="single" w:color="000000" w:themeTint="0" w:sz="4" w:space="0"/>
        <w:right w:val="single" w:color="000000" w:themeTint="0" w:sz="4" w:space="0"/>
        <w:insideH w:val="single" w:color="000000" w:themeTint="0" w:sz="4" w:space="0"/>
        <w:insideV w:val="single" w:color="000000" w:themeTint="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LibreOffice/7.3.0.3$Windows_X86_64 LibreOffice_project/0f246aa12d0eee4a0f7adcefbf7c878fc2238db3</Application>
  <AppVersion>15.0000</AppVersion>
  <Pages>5</Pages>
  <Words>1324</Words>
  <Characters>9337</Characters>
  <CharactersWithSpaces>10699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2023-02-16T10:27:13Z</cp:lastPrinted>
  <dcterms:modified xsi:type="dcterms:W3CDTF">2024-06-11T10:56:31Z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