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02000000">
      <w:pPr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03000000">
      <w:pPr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04000000">
      <w:pPr>
        <w:spacing w:after="0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05000000">
      <w:pPr>
        <w:spacing w:after="0" w:line="360" w:lineRule="auto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Методическое</w:t>
      </w:r>
      <w:r>
        <w:rPr>
          <w:rFonts w:ascii="Times New Roman" w:hAnsi="Times New Roman"/>
          <w:b w:val="1"/>
          <w:sz w:val="36"/>
        </w:rPr>
        <w:t xml:space="preserve"> пособие </w:t>
      </w:r>
      <w:r>
        <w:rPr>
          <w:rFonts w:ascii="Times New Roman" w:hAnsi="Times New Roman"/>
          <w:b w:val="1"/>
          <w:sz w:val="36"/>
        </w:rPr>
        <w:t>для педагогов</w:t>
      </w:r>
    </w:p>
    <w:p w14:paraId="06000000">
      <w:pPr>
        <w:spacing w:after="0" w:line="360" w:lineRule="auto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</w:t>
      </w:r>
      <w:r>
        <w:rPr>
          <w:rFonts w:ascii="Times New Roman" w:hAnsi="Times New Roman"/>
          <w:b w:val="1"/>
          <w:sz w:val="36"/>
        </w:rPr>
        <w:t>Дидактическая игра как средство подготовки детей старшего дошкольного возраста к школе</w:t>
      </w:r>
      <w:r>
        <w:rPr>
          <w:rFonts w:ascii="Times New Roman" w:hAnsi="Times New Roman"/>
          <w:b w:val="1"/>
          <w:sz w:val="36"/>
        </w:rPr>
        <w:t>»</w:t>
      </w:r>
    </w:p>
    <w:p w14:paraId="07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36"/>
        </w:rPr>
      </w:pPr>
    </w:p>
    <w:p w14:paraId="08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36"/>
        </w:rPr>
      </w:pPr>
    </w:p>
    <w:p w14:paraId="09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36"/>
        </w:rPr>
      </w:pPr>
    </w:p>
    <w:p w14:paraId="0A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36"/>
        </w:rPr>
      </w:pPr>
    </w:p>
    <w:p w14:paraId="0B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36"/>
        </w:rPr>
      </w:pPr>
    </w:p>
    <w:p w14:paraId="0C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36"/>
        </w:rPr>
      </w:pPr>
    </w:p>
    <w:p w14:paraId="0D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36"/>
        </w:rPr>
      </w:pPr>
    </w:p>
    <w:p w14:paraId="0E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36"/>
        </w:rPr>
      </w:pPr>
    </w:p>
    <w:p w14:paraId="0F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10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Воспитатель </w:t>
      </w:r>
    </w:p>
    <w:p w14:paraId="11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Фарзалиева Алена Зарбалиевна</w:t>
      </w:r>
    </w:p>
    <w:p w14:paraId="12000000">
      <w:pPr>
        <w:tabs>
          <w:tab w:leader="none" w:pos="3600" w:val="left"/>
        </w:tabs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13000000">
      <w:pPr>
        <w:tabs>
          <w:tab w:leader="none" w:pos="3600" w:val="left"/>
        </w:tabs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14000000">
      <w:pPr>
        <w:tabs>
          <w:tab w:leader="none" w:pos="3600" w:val="left"/>
        </w:tabs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15000000">
      <w:pPr>
        <w:tabs>
          <w:tab w:leader="none" w:pos="3600" w:val="left"/>
        </w:tabs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16000000">
      <w:pPr>
        <w:tabs>
          <w:tab w:leader="none" w:pos="3600" w:val="left"/>
        </w:tabs>
        <w:spacing w:after="0" w:line="36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7000000">
      <w:pPr>
        <w:tabs>
          <w:tab w:leader="none" w:pos="3600" w:val="left"/>
        </w:tabs>
        <w:spacing w:after="0" w:line="36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8000000">
      <w:pPr>
        <w:tabs>
          <w:tab w:leader="none" w:pos="3600" w:val="left"/>
        </w:tabs>
        <w:spacing w:after="0" w:line="36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готовности дошкольников к предстоящему обучению в школе отнюдь не нова, она всегда находилась в центре внимания педагогов и психологов с тех пор, как появились общественные учебные заведения. Однако ее решение неизменно меняется в зависимости от новых тенденций в самой системе образования, которые в свою очередь отражают изменения, происходящие в общественном сознании.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Необходимым условием эффективности формирования личности ребенка является непрерывность, последовательность воспитательно-образовательного процесса. Механизмом обеспечения такой непрерывности является организация преемственности между всеми звеньями образования, в частности, между дошкольным у</w:t>
      </w:r>
      <w:r>
        <w:rPr>
          <w:rFonts w:ascii="Times New Roman" w:hAnsi="Times New Roman"/>
          <w:sz w:val="28"/>
        </w:rPr>
        <w:t xml:space="preserve">чреждением и начальной школой. 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ФГОС в главе «Общие положения» указывает на </w:t>
      </w:r>
      <w:r>
        <w:rPr>
          <w:rFonts w:ascii="Times New Roman" w:hAnsi="Times New Roman"/>
          <w:sz w:val="28"/>
        </w:rPr>
        <w:t xml:space="preserve">необходимость </w:t>
      </w:r>
      <w:r>
        <w:rPr>
          <w:rFonts w:ascii="Times New Roman" w:hAnsi="Times New Roman"/>
          <w:sz w:val="28"/>
        </w:rPr>
        <w:t>обеспечени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аспектов проблемы преемственности между детским садом и начальной школой является поиск оптимальных средств, форм и методов подготовки детей к школе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От того, как будет подготовлен ребенок к обучению в школе, во многом зависит его дальнейшее взросление и формирование. </w:t>
      </w:r>
    </w:p>
    <w:p w14:paraId="1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Многочисленные исследования показали, что игра является эффективным средством умственного развития ребенка, влияет на формирование речи ребенка, воображения, суждений умозаключений.</w:t>
      </w:r>
    </w:p>
    <w:p w14:paraId="1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А.П. Усова отмечает возможности дидактической игры в общей подготовке ребенка к школе, полагая: во – первых, что игра – одна из сфер воспитания детей до школы, предлагает рассматривать ее как форму воспитания, как средство для решения определенных воспитательных задач; во – вторых, игра, разрешая по преимуществу образовательные задачи, </w:t>
      </w:r>
      <w:r>
        <w:rPr>
          <w:rFonts w:ascii="Times New Roman" w:hAnsi="Times New Roman"/>
          <w:sz w:val="28"/>
        </w:rPr>
        <w:t>является в то же время то содержанием, то формой, то методом образовательной работы с маленькими детьми; в – третьих, обучение в форме дидактических игр основано на одной из закономерностей игровой деятельности ребенка – на его стремлении входить в воображаемую ситуацию, действовать по мотивам, диктуемым игровой ситуацией; в - четвертых, лучшие дидактические игры составлены по принципу самообучения, то есть так, что сама игра направляет ребенка на овладение знаниями и умениями.</w:t>
      </w:r>
      <w:r>
        <w:rPr>
          <w:rFonts w:ascii="Times New Roman" w:hAnsi="Times New Roman"/>
          <w:sz w:val="28"/>
        </w:rPr>
        <w:t xml:space="preserve"> </w:t>
      </w:r>
    </w:p>
    <w:p w14:paraId="20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Целевое назначение </w:t>
      </w:r>
    </w:p>
    <w:p w14:paraId="2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Цель</w:t>
      </w:r>
      <w:r>
        <w:rPr>
          <w:rFonts w:ascii="Times New Roman" w:hAnsi="Times New Roman"/>
          <w:sz w:val="28"/>
        </w:rPr>
        <w:t>: подготовка детей к обучению в школе посредством дидактических игр.</w:t>
      </w:r>
    </w:p>
    <w:p w14:paraId="22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Задачи: </w:t>
      </w:r>
    </w:p>
    <w:p w14:paraId="2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речи детей старшего дошкольного возраста;</w:t>
      </w:r>
    </w:p>
    <w:p w14:paraId="2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развитие логического мышления </w:t>
      </w:r>
      <w:r>
        <w:rPr>
          <w:rFonts w:ascii="Times New Roman" w:hAnsi="Times New Roman"/>
          <w:sz w:val="28"/>
        </w:rPr>
        <w:t>дошкольников посредством</w:t>
      </w:r>
      <w:r>
        <w:rPr>
          <w:rFonts w:ascii="Times New Roman" w:hAnsi="Times New Roman"/>
          <w:sz w:val="28"/>
        </w:rPr>
        <w:t xml:space="preserve"> математического материала</w:t>
      </w:r>
      <w:r>
        <w:rPr>
          <w:rFonts w:ascii="Times New Roman" w:hAnsi="Times New Roman"/>
          <w:sz w:val="28"/>
        </w:rPr>
        <w:t>;</w:t>
      </w:r>
    </w:p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>
        <w:rPr>
          <w:rFonts w:ascii="Times New Roman" w:hAnsi="Times New Roman"/>
          <w:sz w:val="28"/>
        </w:rPr>
        <w:t>глубл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представлени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детей об окружающем мире</w:t>
      </w:r>
      <w:r>
        <w:rPr>
          <w:rFonts w:ascii="Times New Roman" w:hAnsi="Times New Roman"/>
          <w:sz w:val="28"/>
        </w:rPr>
        <w:t>;</w:t>
      </w:r>
    </w:p>
    <w:p w14:paraId="2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учить устанавливать причинно - следственные связи в явлениях природы.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омплекс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дидактических игр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подготовк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детей старшего дошкольного возраста к школе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состо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 3-х блоков</w:t>
      </w:r>
      <w:r>
        <w:rPr>
          <w:rFonts w:ascii="Times New Roman" w:hAnsi="Times New Roman"/>
          <w:sz w:val="28"/>
        </w:rPr>
        <w:t>.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Описание содержания работы</w:t>
      </w: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Первый блок «Говоруша»,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 xml:space="preserve"> дидактические игры, направленные на развитие речи с элементами обучения грамоте (Приложение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).</w:t>
      </w:r>
    </w:p>
    <w:p w14:paraId="2A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Задачи блока:</w:t>
      </w: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речью, как средством общения;</w:t>
      </w:r>
    </w:p>
    <w:p w14:paraId="2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Обогащение активного словаря;</w:t>
      </w: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звуковой культуры речи;</w:t>
      </w: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связной речи;</w:t>
      </w:r>
    </w:p>
    <w:p w14:paraId="2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речевого творчества;</w:t>
      </w:r>
    </w:p>
    <w:p w14:paraId="3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звуковой </w:t>
      </w:r>
      <w:r>
        <w:rPr>
          <w:rFonts w:ascii="Times New Roman" w:hAnsi="Times New Roman"/>
          <w:sz w:val="28"/>
        </w:rPr>
        <w:t>аналитико</w:t>
      </w:r>
      <w:r>
        <w:rPr>
          <w:rFonts w:ascii="Times New Roman" w:hAnsi="Times New Roman"/>
          <w:sz w:val="28"/>
        </w:rPr>
        <w:t xml:space="preserve"> – синтетической активности.</w:t>
      </w:r>
    </w:p>
    <w:p w14:paraId="3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блоке с детьми организовыва</w:t>
      </w:r>
      <w:r>
        <w:rPr>
          <w:rFonts w:ascii="Times New Roman" w:hAnsi="Times New Roman"/>
          <w:sz w:val="28"/>
        </w:rPr>
        <w:t xml:space="preserve">ются </w:t>
      </w:r>
      <w:r>
        <w:rPr>
          <w:rFonts w:ascii="Times New Roman" w:hAnsi="Times New Roman"/>
          <w:sz w:val="28"/>
        </w:rPr>
        <w:t xml:space="preserve">следующие дидактические игры: </w:t>
      </w:r>
    </w:p>
    <w:p w14:paraId="32000000">
      <w:pPr>
        <w:spacing w:after="0" w:line="36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развитие связной речи: «Как ты узнал?», «Какая картинка не нужна?», «Исправь ошибку», «Отгадай-ка», «Чего на свете не бывает», «Опиши картинку».</w:t>
      </w:r>
      <w:r>
        <w:t xml:space="preserve"> </w:t>
      </w:r>
    </w:p>
    <w:p w14:paraId="3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Игры на развитие лексической стороны речи (формирования словаря): «Новоселье», «Кто как голос подаёт», «Четвёртый лишний», «Верно ли это?», «Подними цифру», «Найди лишнее слово», «Составь фразу», «Эстафета», «Наоборот», «Скажи по-другому», «Первоклассник»</w:t>
      </w:r>
      <w:r>
        <w:t xml:space="preserve">. </w:t>
      </w:r>
    </w:p>
    <w:p w14:paraId="3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Игры на развитие грамматического строя речи: «Размытое письмо», «Живые слова», «Доскажи словечко», «Напишем кукле письмо», «Кого я вижу, что я вижу», «Прятки», «Один и много», «Объясните, почему…», «Распутай слова», «Добавь слова», «Придумай предложение», «Дополни предложение». </w:t>
      </w:r>
    </w:p>
    <w:p w14:paraId="3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Игры на формирование звуковой </w:t>
      </w:r>
      <w:r>
        <w:rPr>
          <w:rFonts w:ascii="Times New Roman" w:hAnsi="Times New Roman"/>
          <w:sz w:val="28"/>
        </w:rPr>
        <w:t>аналитико</w:t>
      </w:r>
      <w:r>
        <w:rPr>
          <w:rFonts w:ascii="Times New Roman" w:hAnsi="Times New Roman"/>
          <w:sz w:val="28"/>
        </w:rPr>
        <w:t xml:space="preserve"> – синтетической активности: «Закончи слово», «Волшебные кубики», «Веселый поезд», «Найди братца», «Клубочек», «Звуковая зарядка», «Хлопни в ладоши», «Домики для звуков», «Звонкий – глухой», «Бабочки на полянке», «Самый зоркий», «Кто быстрее», «К кому пойти в гости».</w:t>
      </w:r>
    </w:p>
    <w:p w14:paraId="3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Второй блок «Занимательная математика»</w:t>
      </w:r>
      <w:r>
        <w:rPr>
          <w:rFonts w:ascii="Times New Roman" w:hAnsi="Times New Roman"/>
          <w:sz w:val="28"/>
        </w:rPr>
        <w:t>, содерж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 xml:space="preserve"> дидактические игры, направленные на развитие логического мышления с использованием математического материала (Приложение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).</w:t>
      </w:r>
    </w:p>
    <w:p w14:paraId="37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Задачи блока: </w:t>
      </w:r>
    </w:p>
    <w:p w14:paraId="3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представлений о числе и количестве;</w:t>
      </w:r>
    </w:p>
    <w:p w14:paraId="3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представлений о величине;</w:t>
      </w:r>
    </w:p>
    <w:p w14:paraId="3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представлений о форме;</w:t>
      </w:r>
    </w:p>
    <w:p w14:paraId="3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пространственной ориентировки;</w:t>
      </w:r>
    </w:p>
    <w:p w14:paraId="3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ориентировки во времени.</w:t>
      </w:r>
    </w:p>
    <w:p w14:paraId="3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блоке с детьми организовыва</w:t>
      </w:r>
      <w:r>
        <w:rPr>
          <w:rFonts w:ascii="Times New Roman" w:hAnsi="Times New Roman"/>
          <w:sz w:val="28"/>
        </w:rPr>
        <w:t>ются такие</w:t>
      </w:r>
      <w:r>
        <w:rPr>
          <w:rFonts w:ascii="Times New Roman" w:hAnsi="Times New Roman"/>
          <w:sz w:val="28"/>
        </w:rPr>
        <w:t xml:space="preserve"> дидактические игры</w:t>
      </w:r>
      <w:r>
        <w:rPr>
          <w:rFonts w:ascii="Times New Roman" w:hAnsi="Times New Roman"/>
          <w:sz w:val="28"/>
        </w:rPr>
        <w:t>, как</w:t>
      </w:r>
      <w:r>
        <w:rPr>
          <w:rFonts w:ascii="Times New Roman" w:hAnsi="Times New Roman"/>
          <w:sz w:val="28"/>
        </w:rPr>
        <w:t xml:space="preserve">: </w:t>
      </w:r>
    </w:p>
    <w:p w14:paraId="3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</w:t>
      </w:r>
      <w:r>
        <w:rPr>
          <w:rFonts w:ascii="Times New Roman" w:hAnsi="Times New Roman"/>
          <w:sz w:val="28"/>
        </w:rPr>
        <w:t>гры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развитие ориентировки во времени: «Назови сутки», «Назови пропущенное слово», «Когда это бывает», «Живая неделя», «12 месяцев».</w:t>
      </w:r>
    </w:p>
    <w:p w14:paraId="3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Игры на ориентировку в пространстве: «Рисуем дорожку к участку», «Художники», «Расскажи про свой узор», «Сравни и заполни», «Как расположены фигуры».</w:t>
      </w:r>
    </w:p>
    <w:p w14:paraId="4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Игры на формирование представлений о числе и количестве: «На зарядку становись», «Назови «соседей» числа», «Сосчитай правильно», «Считаем по порядку», «Матрешки», «Встань на свое место», «Раздели правильно».</w:t>
      </w:r>
    </w:p>
    <w:p w14:paraId="4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Игры на развитие представлений о форме: «Мастерим геометрические фигуры»,</w:t>
      </w:r>
      <w:r>
        <w:t xml:space="preserve"> </w:t>
      </w:r>
      <w:r>
        <w:rPr>
          <w:rFonts w:ascii="Times New Roman" w:hAnsi="Times New Roman"/>
          <w:sz w:val="28"/>
        </w:rPr>
        <w:t>«Сложи фигуру», «Кто больше увидит», «Кто быстрее найдет», «Сложи из палочек».</w:t>
      </w:r>
    </w:p>
    <w:p w14:paraId="4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Игры на развитие представлений о величине: «Посадим ели», «Найдем шарфики для Незнайки и Карандаша», «Кто какого роста?», «Измерь стол», «Измерь сколько гороха».</w:t>
      </w:r>
    </w:p>
    <w:p w14:paraId="4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Третий блок «Почемучка»,</w:t>
      </w:r>
      <w:r>
        <w:rPr>
          <w:rFonts w:ascii="Times New Roman" w:hAnsi="Times New Roman"/>
          <w:sz w:val="28"/>
        </w:rPr>
        <w:t xml:space="preserve"> содерж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 xml:space="preserve"> дидактические игры, направленные на познание окружающего мира (Приложение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44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Задачи блока: </w:t>
      </w:r>
    </w:p>
    <w:p w14:paraId="4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 детей способность к анализу, синтезу;</w:t>
      </w:r>
    </w:p>
    <w:p w14:paraId="4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навыки самоконтроля и самооценки своего поведения в природе;</w:t>
      </w:r>
    </w:p>
    <w:p w14:paraId="4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Углублять представления детей об окружающем мире. Продолжать учить устанавливать причинно - следственные связи в явлениях природы.</w:t>
      </w:r>
    </w:p>
    <w:p w14:paraId="4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представленном</w:t>
      </w:r>
      <w:r>
        <w:rPr>
          <w:rFonts w:ascii="Times New Roman" w:hAnsi="Times New Roman"/>
          <w:sz w:val="28"/>
        </w:rPr>
        <w:t xml:space="preserve"> блоке </w:t>
      </w:r>
      <w:r>
        <w:rPr>
          <w:rFonts w:ascii="Times New Roman" w:hAnsi="Times New Roman"/>
          <w:sz w:val="28"/>
        </w:rPr>
        <w:t xml:space="preserve">организовываются </w:t>
      </w:r>
      <w:r>
        <w:rPr>
          <w:rFonts w:ascii="Times New Roman" w:hAnsi="Times New Roman"/>
          <w:sz w:val="28"/>
        </w:rPr>
        <w:t>дидактические игры узкой направленности, а именно игры по экологическому воспитанию детей.</w:t>
      </w:r>
    </w:p>
    <w:p w14:paraId="4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</w:t>
      </w:r>
      <w:r>
        <w:rPr>
          <w:rFonts w:ascii="Times New Roman" w:hAnsi="Times New Roman"/>
          <w:sz w:val="28"/>
        </w:rPr>
        <w:t xml:space="preserve"> игры: «Найди растение»,</w:t>
      </w:r>
      <w:r>
        <w:t xml:space="preserve"> </w:t>
      </w:r>
      <w:r>
        <w:rPr>
          <w:rFonts w:ascii="Times New Roman" w:hAnsi="Times New Roman"/>
          <w:sz w:val="28"/>
        </w:rPr>
        <w:t>«Найди, что опишу», «Отгадай, что за растение»,</w:t>
      </w:r>
      <w:r>
        <w:t xml:space="preserve"> </w:t>
      </w:r>
      <w:r>
        <w:rPr>
          <w:rFonts w:ascii="Times New Roman" w:hAnsi="Times New Roman"/>
          <w:sz w:val="28"/>
        </w:rPr>
        <w:t>«Загадай, мы отгадаем»,</w:t>
      </w:r>
      <w:r>
        <w:t xml:space="preserve"> </w:t>
      </w:r>
      <w:r>
        <w:rPr>
          <w:rFonts w:ascii="Times New Roman" w:hAnsi="Times New Roman"/>
          <w:sz w:val="28"/>
        </w:rPr>
        <w:t>«К названному растению беги»,</w:t>
      </w:r>
      <w:r>
        <w:t xml:space="preserve"> </w:t>
      </w:r>
      <w:r>
        <w:rPr>
          <w:rFonts w:ascii="Times New Roman" w:hAnsi="Times New Roman"/>
          <w:sz w:val="28"/>
        </w:rPr>
        <w:t>«Собери цветок»,</w:t>
      </w:r>
      <w:r>
        <w:t xml:space="preserve"> </w:t>
      </w:r>
      <w:r>
        <w:rPr>
          <w:rFonts w:ascii="Times New Roman" w:hAnsi="Times New Roman"/>
          <w:sz w:val="28"/>
        </w:rPr>
        <w:t>«Где спрятался зайчонок?»,</w:t>
      </w:r>
      <w:r>
        <w:t xml:space="preserve"> </w:t>
      </w:r>
      <w:r>
        <w:rPr>
          <w:rFonts w:ascii="Times New Roman" w:hAnsi="Times New Roman"/>
          <w:sz w:val="28"/>
        </w:rPr>
        <w:t>«Чего не стало?»,</w:t>
      </w:r>
      <w:r>
        <w:t xml:space="preserve"> </w:t>
      </w:r>
      <w:r>
        <w:rPr>
          <w:rFonts w:ascii="Times New Roman" w:hAnsi="Times New Roman"/>
          <w:sz w:val="28"/>
        </w:rPr>
        <w:t>«Опишите, я отгадаю»,</w:t>
      </w:r>
      <w:r>
        <w:t xml:space="preserve"> </w:t>
      </w:r>
      <w:r>
        <w:rPr>
          <w:rFonts w:ascii="Times New Roman" w:hAnsi="Times New Roman"/>
          <w:sz w:val="28"/>
        </w:rPr>
        <w:t>«Продайте то, что назову»,</w:t>
      </w:r>
      <w:r>
        <w:t xml:space="preserve"> «</w:t>
      </w:r>
      <w:r>
        <w:rPr>
          <w:rFonts w:ascii="Times New Roman" w:hAnsi="Times New Roman"/>
          <w:sz w:val="28"/>
        </w:rPr>
        <w:t>Магазин «Цветы»,</w:t>
      </w:r>
      <w:r>
        <w:t xml:space="preserve"> </w:t>
      </w:r>
      <w:r>
        <w:rPr>
          <w:rFonts w:ascii="Times New Roman" w:hAnsi="Times New Roman"/>
          <w:sz w:val="28"/>
        </w:rPr>
        <w:t>«Украсим комнату»,</w:t>
      </w:r>
      <w:r>
        <w:t xml:space="preserve"> </w:t>
      </w:r>
      <w:r>
        <w:rPr>
          <w:rFonts w:ascii="Times New Roman" w:hAnsi="Times New Roman"/>
          <w:sz w:val="28"/>
        </w:rPr>
        <w:t>Домино «Мы из Красной книги»,</w:t>
      </w:r>
      <w:r>
        <w:t xml:space="preserve"> </w:t>
      </w:r>
      <w:r>
        <w:rPr>
          <w:rFonts w:ascii="Times New Roman" w:hAnsi="Times New Roman"/>
          <w:sz w:val="28"/>
        </w:rPr>
        <w:t>«Собери букет»,</w:t>
      </w:r>
      <w:r>
        <w:t xml:space="preserve"> </w:t>
      </w:r>
      <w:r>
        <w:rPr>
          <w:rFonts w:ascii="Times New Roman" w:hAnsi="Times New Roman"/>
          <w:sz w:val="28"/>
        </w:rPr>
        <w:t>«Что изменилось?»,</w:t>
      </w:r>
      <w:r>
        <w:t xml:space="preserve"> </w:t>
      </w:r>
      <w:r>
        <w:rPr>
          <w:rFonts w:ascii="Times New Roman" w:hAnsi="Times New Roman"/>
          <w:sz w:val="28"/>
        </w:rPr>
        <w:t>«Найди такой же»,</w:t>
      </w:r>
      <w:r>
        <w:t xml:space="preserve"> </w:t>
      </w:r>
      <w:r>
        <w:rPr>
          <w:rFonts w:ascii="Times New Roman" w:hAnsi="Times New Roman"/>
          <w:sz w:val="28"/>
        </w:rPr>
        <w:t>«Найди растение по названию».</w:t>
      </w:r>
    </w:p>
    <w:p w14:paraId="4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блок дидактических игр формир</w:t>
      </w:r>
      <w:r>
        <w:rPr>
          <w:rFonts w:ascii="Times New Roman" w:hAnsi="Times New Roman"/>
          <w:sz w:val="28"/>
        </w:rPr>
        <w:t>ует</w:t>
      </w:r>
      <w:r>
        <w:rPr>
          <w:rFonts w:ascii="Times New Roman" w:hAnsi="Times New Roman"/>
          <w:sz w:val="28"/>
        </w:rPr>
        <w:t xml:space="preserve"> знания детей в определенном направлении. При переходе из одного блока в другой эти знания расширя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и дополня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новым содержанием, что способств</w:t>
      </w:r>
      <w:r>
        <w:rPr>
          <w:rFonts w:ascii="Times New Roman" w:hAnsi="Times New Roman"/>
          <w:sz w:val="28"/>
        </w:rPr>
        <w:t>ует</w:t>
      </w:r>
      <w:r>
        <w:rPr>
          <w:rFonts w:ascii="Times New Roman" w:hAnsi="Times New Roman"/>
          <w:sz w:val="28"/>
        </w:rPr>
        <w:t xml:space="preserve"> более эффективной подготовке детей к школе.</w:t>
      </w:r>
    </w:p>
    <w:p w14:paraId="4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используемой литературы</w:t>
      </w:r>
    </w:p>
    <w:p w14:paraId="4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Волошкина</w:t>
      </w:r>
      <w:r>
        <w:rPr>
          <w:rFonts w:ascii="Times New Roman" w:hAnsi="Times New Roman"/>
          <w:sz w:val="28"/>
        </w:rPr>
        <w:t xml:space="preserve">, М.И. Дидактическая игра в подготовке ребенка к обучению в школе. Учеб. для студентов </w:t>
      </w:r>
      <w:r>
        <w:rPr>
          <w:rFonts w:ascii="Times New Roman" w:hAnsi="Times New Roman"/>
          <w:sz w:val="28"/>
        </w:rPr>
        <w:t>пед</w:t>
      </w:r>
      <w:r>
        <w:rPr>
          <w:rFonts w:ascii="Times New Roman" w:hAnsi="Times New Roman"/>
          <w:sz w:val="28"/>
        </w:rPr>
        <w:t xml:space="preserve">. вузов / М.И. </w:t>
      </w:r>
      <w:r>
        <w:rPr>
          <w:rFonts w:ascii="Times New Roman" w:hAnsi="Times New Roman"/>
          <w:sz w:val="28"/>
        </w:rPr>
        <w:t>Волошкина</w:t>
      </w:r>
      <w:r>
        <w:rPr>
          <w:rFonts w:ascii="Times New Roman" w:hAnsi="Times New Roman"/>
          <w:sz w:val="28"/>
        </w:rPr>
        <w:t>. – М.: Начальная школа, 2002. – 160 с.</w:t>
      </w:r>
    </w:p>
    <w:p w14:paraId="4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Жукова, О. Игры и упражнения для подготовки ребенка к школе. Практическое пособие для психологов, воспитателей, педагогов / О.  Жукова. - М.: ООО Издательство «АСТРЕЛЬ», 2008. – 208 с.</w:t>
      </w:r>
    </w:p>
    <w:p w14:paraId="4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Минкевич</w:t>
      </w:r>
      <w:r>
        <w:rPr>
          <w:rFonts w:ascii="Times New Roman" w:hAnsi="Times New Roman"/>
          <w:sz w:val="28"/>
        </w:rPr>
        <w:t xml:space="preserve">, Л.В. Математика в детском саду. Старшая группа / Л.В. </w:t>
      </w:r>
      <w:r>
        <w:rPr>
          <w:rFonts w:ascii="Times New Roman" w:hAnsi="Times New Roman"/>
          <w:sz w:val="28"/>
        </w:rPr>
        <w:t>Минкевич</w:t>
      </w:r>
      <w:r>
        <w:rPr>
          <w:rFonts w:ascii="Times New Roman" w:hAnsi="Times New Roman"/>
          <w:sz w:val="28"/>
        </w:rPr>
        <w:t>: - М.: Издательство «Скрипторий 2003», 2010. – 96 с.</w:t>
      </w:r>
    </w:p>
    <w:p w14:paraId="5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Михайлова, Л.С. Как подготовить ребенка к школе. Пособие для родителей и воспитателей детских садов. Упражнения, задачи, игры, тесты / Л.С. Михайлова, часть 1. — Волгоград: Учитель, 2003. – 166 с.</w:t>
      </w:r>
    </w:p>
    <w:p w14:paraId="5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Михайлова, Л.С. Как подготовить ребенка к школе. Пособие для родителей и воспитателей детских садов. Упражнения, задачи, игры, тесты / Л.С. Михайлова, часть 2. — Волгоград: Учитель, 2003. – 177 с.</w:t>
      </w:r>
    </w:p>
    <w:p w14:paraId="5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Подготовка детей к школе: учебно- методическое пособие / Павлова Л.А.  [и др.]. - М: «Про-пресс», 2002. – 188 с.</w:t>
      </w:r>
    </w:p>
    <w:p w14:paraId="5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Соколова, Ю.А. Игры и задания на интеллектуальное развитие ребенка пяти-шести лет / Ю.А. Соколова. - М.: </w:t>
      </w:r>
      <w:r>
        <w:rPr>
          <w:rFonts w:ascii="Times New Roman" w:hAnsi="Times New Roman"/>
          <w:sz w:val="28"/>
        </w:rPr>
        <w:t>Эксмо</w:t>
      </w:r>
      <w:r>
        <w:rPr>
          <w:rFonts w:ascii="Times New Roman" w:hAnsi="Times New Roman"/>
          <w:sz w:val="28"/>
        </w:rPr>
        <w:t>, 2007. – 64 с</w:t>
      </w:r>
    </w:p>
    <w:p w14:paraId="5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</w:p>
    <w:p w14:paraId="6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2024-05-18T19:46:50Z</dcterms:modified>
</cp:coreProperties>
</file>