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Крепостное право превратилось в тормоз технического прогресса, который в Европе, после промышленной революции, активно развивался. Крымская война наглядно это продемонстрировала. Возникла опасность превращения России в третьеразрядную державу. Именно ко второй половине XIX века стало ясно, что сохранение могущества и политического влияния России невозможно без укрепления финансов, развития промышленности и железнодорожного строительства, преобразования всей политической системы. В условиях господства крепостного права, которое само по себе могло существовать еще неопределенное время, при том что само поместное дворянство было неспособно и не готово к модернизации собственных имений, сделать это оказалась практически невозможно. Именно поэтому правление Александра II стало периодом радикальных преобразований российского общества. Император, отличаясь здравым умом и определенной политической гибкостью, сумел окружить себя профессионально грамотными людьми, понимавшими необходимость поступательного движения России. Среди них выделялись брат царя, великий князь Константин Николаевич, братья Н.А. и Д.А. Милютины, Я.И. Ростовцев, П.А. Валуев и др.  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2024-02-10T18:00:02Z</dcterms:modified>
</cp:coreProperties>
</file>