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D62C5" w:rsidRPr="008D62C5" w:rsidTr="008D62C5">
        <w:trPr>
          <w:gridAfter w:val="2"/>
          <w:wAfter w:w="6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16"/>
                <w:szCs w:val="16"/>
                <w:lang w:eastAsia="ru-RU"/>
              </w:rPr>
              <w:t xml:space="preserve">С ТА РШИЙ </w:t>
            </w: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16"/>
                <w:szCs w:val="16"/>
                <w:lang w:eastAsia="ru-RU"/>
              </w:rPr>
              <w:t>ВОЗРАС Т</w:t>
            </w:r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16"/>
                <w:szCs w:val="16"/>
                <w:lang w:eastAsia="ru-RU"/>
              </w:rPr>
              <w:t>, 5–8 ЛЕТ</w:t>
            </w:r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Для игровой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Наряды для костюмированных игр: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юбки на резинках, вуали, шали, перчат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ки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и шляпки, бижутерия, плащи и т. п.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Аксессуары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Игрушки сюжетные: куклы, машины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Игрушки мягкие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Настольные игры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шансовые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Лото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Сюжетные наборы небольших по раз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меру игрушек-персонажей по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моти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вам популярных мультфильмов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Кукольный театр бибабо с ширмой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Стойки и ткани для создания </w:t>
            </w:r>
            <w:proofErr w:type="spellStart"/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игро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вых</w:t>
            </w:r>
            <w:proofErr w:type="spellEnd"/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пространств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Костюмы театральные, парики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Игры «Водоем», «Поймай рыбку»,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«Колпачки» и т. п.</w:t>
            </w:r>
          </w:p>
        </w:tc>
      </w:tr>
    </w:tbl>
    <w:p w:rsidR="008D62C5" w:rsidRPr="008D62C5" w:rsidRDefault="008D62C5" w:rsidP="008D62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00"/>
        <w:gridCol w:w="3000"/>
        <w:gridCol w:w="3000"/>
      </w:tblGrid>
      <w:tr w:rsidR="008D62C5" w:rsidRPr="008D62C5" w:rsidTr="008D62C5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>Функциональное</w:t>
            </w: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br/>
              <w:t>пространство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>Уровень качества функциональных пространств</w:t>
            </w:r>
          </w:p>
        </w:tc>
      </w:tr>
      <w:tr w:rsidR="008D62C5" w:rsidRPr="008D62C5" w:rsidTr="008D62C5">
        <w:trPr>
          <w:gridAfter w:val="1"/>
          <w:wAfter w:w="3000" w:type="dxa"/>
        </w:trPr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 xml:space="preserve">1-й уровень </w:t>
            </w: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–</w:t>
            </w: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>«</w:t>
            </w:r>
            <w:proofErr w:type="gramEnd"/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 xml:space="preserve">Базовый» 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>2-й уровень – «Базовый +»</w:t>
            </w:r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br/>
              <w:t xml:space="preserve">и 3-й уровень </w:t>
            </w:r>
            <w:proofErr w:type="gramStart"/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>–«</w:t>
            </w:r>
            <w:proofErr w:type="gramEnd"/>
            <w:r w:rsidRPr="008D62C5">
              <w:rPr>
                <w:rFonts w:ascii="MinionPro-Bold" w:eastAsia="Times New Roman" w:hAnsi="MinionPro-Bold" w:cs="Times New Roman"/>
                <w:b/>
                <w:bCs/>
                <w:color w:val="242021"/>
                <w:sz w:val="20"/>
                <w:szCs w:val="20"/>
                <w:lang w:eastAsia="ru-RU"/>
              </w:rPr>
              <w:t>Идеал»</w:t>
            </w:r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конструктив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ной</w:t>
            </w:r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Строительные наборы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Конструкторы с образцами сборки,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комплектные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Электрические конструкторы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Наборы для шитья мягкой игрушки,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вышивания, плетения, вязания и т. п.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Модели для сборки: лодки, самолеты</w:t>
            </w:r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Для творческой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продуктивной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Краски и кисти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Карандаши цветные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Фломастеры, маркеры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Пластилин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Бумага цветная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Карандаши акварельные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Восковые мелки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Глина, глазурь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Краски и материалы для батика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Витражные краски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Тушь цветная, перья плакатные</w:t>
            </w:r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Для </w:t>
            </w:r>
            <w:proofErr w:type="spellStart"/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познаватель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ной</w:t>
            </w:r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деятельности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Физическая карта мира, глобус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Календари разные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Коллекции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Наборы «Юный химик», физические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опыты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Лупа, микроскоп, телескоп</w:t>
            </w:r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Для </w:t>
            </w: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интеллекту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альной</w:t>
            </w:r>
            <w:proofErr w:type="spellEnd"/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деятель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ности</w:t>
            </w:r>
            <w:proofErr w:type="spellEnd"/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Измерительные приборы и инструменты: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весы: безмен, напольные, рычажные,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тарелочные, аптечные с набором </w:t>
            </w: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раз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новесов</w:t>
            </w:r>
            <w:proofErr w:type="spellEnd"/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термометры: для воды, воздуха, тела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рулетка, сантиметр и метр деревянный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мерные стаканы, банки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объ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емом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0,5, 1, 3 литра для жидкостей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календари: настенный и перекидной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часы: стрелочные, электронные,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песоч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ные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, настенные, будильник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обучающие настольно-печатные игры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по математике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Настольные игры интеллектуальные: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домино, шашки, шахматы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Дидактические игры «Подбери пару»,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«Составь из фигур», «Сложи из пало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чек»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Лото «Зоологическое» «Цветы», «Под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бери и назови», «Сказки» и т. п.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Геометрические головоломки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Наборы для оригами</w:t>
            </w:r>
            <w:proofErr w:type="gramEnd"/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Для каждого ребенка: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арифметическая линейка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lastRenderedPageBreak/>
              <w:t>модель часов, модель термометра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тетрадь в крупную клетку в обложке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счетный материал 20 единиц, допустим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самодельный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наборы цифр, геометрических фигур</w:t>
            </w:r>
          </w:p>
        </w:tc>
        <w:tc>
          <w:tcPr>
            <w:tcW w:w="0" w:type="auto"/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D62C5" w:rsidRPr="008D62C5" w:rsidTr="008D62C5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lastRenderedPageBreak/>
              <w:t>Для художествен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но-эстетического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 xml:space="preserve">развития – </w:t>
            </w:r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эсте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тические</w:t>
            </w:r>
            <w:proofErr w:type="spellEnd"/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предме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ты, объекты для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восприятия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Образцы народной игрушки и </w:t>
            </w:r>
            <w:proofErr w:type="spellStart"/>
            <w:proofErr w:type="gram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промыс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лов</w:t>
            </w:r>
            <w:proofErr w:type="gram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: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павловопосадские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платки, </w:t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орен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</w:r>
            <w:proofErr w:type="spellStart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бургская</w:t>
            </w:r>
            <w:proofErr w:type="spellEnd"/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 xml:space="preserve"> шаль, вологодское кружево,</w:t>
            </w: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br/>
              <w:t>хохломская посуда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2C5" w:rsidRPr="008D62C5" w:rsidRDefault="008D62C5" w:rsidP="008D62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D62C5">
              <w:rPr>
                <w:rFonts w:ascii="MinionPro-Regular" w:eastAsia="Times New Roman" w:hAnsi="MinionPro-Regular" w:cs="Times New Roman"/>
                <w:color w:val="242021"/>
                <w:sz w:val="20"/>
                <w:szCs w:val="20"/>
                <w:lang w:eastAsia="ru-RU"/>
              </w:rPr>
              <w:t>Фигурки из природного камня</w:t>
            </w:r>
          </w:p>
        </w:tc>
      </w:tr>
    </w:tbl>
    <w:p w:rsidR="000E558F" w:rsidRDefault="000E558F"/>
    <w:p w:rsidR="008D62C5" w:rsidRDefault="008D62C5"/>
    <w:p w:rsidR="008D62C5" w:rsidRDefault="008D62C5"/>
    <w:p w:rsidR="008D62C5" w:rsidRDefault="008D62C5">
      <w:bookmarkStart w:id="0" w:name="_GoBack"/>
      <w:r>
        <w:t>Статья « Организация РППС в старшей группе ДОУ»</w:t>
      </w:r>
    </w:p>
    <w:bookmarkEnd w:id="0"/>
    <w:p w:rsidR="008D62C5" w:rsidRDefault="008D62C5"/>
    <w:p w:rsidR="008D62C5" w:rsidRDefault="008D62C5"/>
    <w:p w:rsidR="008D62C5" w:rsidRDefault="008D62C5"/>
    <w:p w:rsidR="008D62C5" w:rsidRDefault="008D62C5"/>
    <w:p w:rsidR="008D62C5" w:rsidRDefault="008D62C5"/>
    <w:p w:rsidR="008D62C5" w:rsidRDefault="008D62C5"/>
    <w:sectPr w:rsidR="008D62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  <w:font w:name="MinionPro-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552D"/>
    <w:rsid w:val="000E558F"/>
    <w:rsid w:val="0073552D"/>
    <w:rsid w:val="008D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88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2094</Characters>
  <Application>Microsoft Office Word</Application>
  <DocSecurity>0</DocSecurity>
  <Lines>17</Lines>
  <Paragraphs>4</Paragraphs>
  <ScaleCrop>false</ScaleCrop>
  <Company/>
  <LinksUpToDate>false</LinksUpToDate>
  <CharactersWithSpaces>2457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ECS</dc:creator>
  <cp:keywords/>
  <dc:description/>
  <cp:lastModifiedBy>ECS</cp:lastModifiedBy>
  <cp:revision>3</cp:revision>
  <dcterms:created xsi:type="dcterms:W3CDTF">2023-09-05T04:00:00Z</dcterms:created>
  <dcterms:modified xsi:type="dcterms:W3CDTF">2023-09-05T04:01:00Z</dcterms:modified>
</cp:coreProperties>
</file>