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Здравствуйте! Вашему вниманию предлагается курсовая работа на тему «</w:t>
      </w:r>
      <w:r w:rsidRPr="00DE3456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образовательные ресурсы как средство формиров</w:t>
      </w:r>
      <w:r w:rsidRPr="00DE345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E3456">
        <w:rPr>
          <w:rFonts w:ascii="Times New Roman" w:hAnsi="Times New Roman" w:cs="Times New Roman"/>
          <w:b/>
          <w:color w:val="000000"/>
          <w:sz w:val="24"/>
          <w:szCs w:val="24"/>
        </w:rPr>
        <w:t>ния познавательных УУД у младших школьников на уроках математ</w:t>
      </w:r>
      <w:r w:rsidRPr="00DE3456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DE3456">
        <w:rPr>
          <w:rFonts w:ascii="Times New Roman" w:hAnsi="Times New Roman" w:cs="Times New Roman"/>
          <w:b/>
          <w:color w:val="000000"/>
          <w:sz w:val="24"/>
          <w:szCs w:val="24"/>
        </w:rPr>
        <w:t>ки».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 xml:space="preserve">В системе реализации современных 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деральных государственных стандартов начального образования весьма 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важное значение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приобретает деятельность педагога по развитию у обучающи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универсальных учебных действий (УУД). 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Ученые единогласно считают, что успешное развитие именно универсальных учебных действий заложит у обучающихся с начальной ступени школьного образования навыки и умения плодотворно и эффективно учиться, постигать знания, осваивать умения и навыки. </w:t>
      </w:r>
      <w:proofErr w:type="gramEnd"/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государственным образовательным стандартом начал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общего образования определено, что в результате освоения основной образовательной программы обучающиеся освоили универсальные учебные действия[17]. 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каждой существуют свои блоки. У познавательных униве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сальных учебных действий наиболее объемный и распространенный состав, включая базовые логические действия, базовые исследовательские действия и работу с информацией[8].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На наш взгляд, именно развитие познавательных учебных действий требует особого внимания и систематического контроля развития у школ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ников от учителей начальных классов.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DE3456">
        <w:rPr>
          <w:rFonts w:ascii="Times New Roman" w:hAnsi="Times New Roman" w:cs="Times New Roman"/>
          <w:sz w:val="24"/>
          <w:szCs w:val="24"/>
        </w:rPr>
        <w:t>: процесс обучения математике в начальной школе.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DE3456">
        <w:rPr>
          <w:rFonts w:ascii="Times New Roman" w:hAnsi="Times New Roman" w:cs="Times New Roman"/>
          <w:sz w:val="24"/>
          <w:szCs w:val="24"/>
        </w:rPr>
        <w:t>: процесс использования электронных образ</w:t>
      </w:r>
      <w:r w:rsidRPr="00DE3456">
        <w:rPr>
          <w:rFonts w:ascii="Times New Roman" w:hAnsi="Times New Roman" w:cs="Times New Roman"/>
          <w:sz w:val="24"/>
          <w:szCs w:val="24"/>
        </w:rPr>
        <w:t>о</w:t>
      </w:r>
      <w:r w:rsidRPr="00DE3456">
        <w:rPr>
          <w:rFonts w:ascii="Times New Roman" w:hAnsi="Times New Roman" w:cs="Times New Roman"/>
          <w:sz w:val="24"/>
          <w:szCs w:val="24"/>
        </w:rPr>
        <w:t>вательных ресурсов как средства формирования познавательных универсал</w:t>
      </w:r>
      <w:r w:rsidRPr="00DE3456">
        <w:rPr>
          <w:rFonts w:ascii="Times New Roman" w:hAnsi="Times New Roman" w:cs="Times New Roman"/>
          <w:sz w:val="24"/>
          <w:szCs w:val="24"/>
        </w:rPr>
        <w:t>ь</w:t>
      </w:r>
      <w:r w:rsidRPr="00DE3456">
        <w:rPr>
          <w:rFonts w:ascii="Times New Roman" w:hAnsi="Times New Roman" w:cs="Times New Roman"/>
          <w:sz w:val="24"/>
          <w:szCs w:val="24"/>
        </w:rPr>
        <w:t>ных учебных действий у младших школьников на уроках математики.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b/>
          <w:sz w:val="24"/>
          <w:szCs w:val="24"/>
        </w:rPr>
        <w:t>Цель</w:t>
      </w:r>
      <w:r w:rsidRPr="00DE3456">
        <w:rPr>
          <w:rFonts w:ascii="Times New Roman" w:hAnsi="Times New Roman" w:cs="Times New Roman"/>
          <w:sz w:val="24"/>
          <w:szCs w:val="24"/>
        </w:rPr>
        <w:t>: обосновать систему учебных ситуаций с использованием эле</w:t>
      </w:r>
      <w:r w:rsidRPr="00DE3456">
        <w:rPr>
          <w:rFonts w:ascii="Times New Roman" w:hAnsi="Times New Roman" w:cs="Times New Roman"/>
          <w:sz w:val="24"/>
          <w:szCs w:val="24"/>
        </w:rPr>
        <w:t>к</w:t>
      </w:r>
      <w:r w:rsidRPr="00DE3456">
        <w:rPr>
          <w:rFonts w:ascii="Times New Roman" w:hAnsi="Times New Roman" w:cs="Times New Roman"/>
          <w:sz w:val="24"/>
          <w:szCs w:val="24"/>
        </w:rPr>
        <w:t>тронных образовательных ресурсов на уроках математики как средства фо</w:t>
      </w:r>
      <w:r w:rsidRPr="00DE3456">
        <w:rPr>
          <w:rFonts w:ascii="Times New Roman" w:hAnsi="Times New Roman" w:cs="Times New Roman"/>
          <w:sz w:val="24"/>
          <w:szCs w:val="24"/>
        </w:rPr>
        <w:t>р</w:t>
      </w:r>
      <w:r w:rsidRPr="00DE3456">
        <w:rPr>
          <w:rFonts w:ascii="Times New Roman" w:hAnsi="Times New Roman" w:cs="Times New Roman"/>
          <w:sz w:val="24"/>
          <w:szCs w:val="24"/>
        </w:rPr>
        <w:t>мирования познавательных универсальных учебных действий.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b/>
          <w:sz w:val="24"/>
          <w:szCs w:val="24"/>
        </w:rPr>
        <w:t>Задачи исследования</w:t>
      </w:r>
      <w:r w:rsidRPr="00DE3456">
        <w:rPr>
          <w:rFonts w:ascii="Times New Roman" w:hAnsi="Times New Roman" w:cs="Times New Roman"/>
          <w:sz w:val="24"/>
          <w:szCs w:val="24"/>
        </w:rPr>
        <w:t>: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1. Уточнить структуру и функции познавательных универсальных учебных действий у младших школьников.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2. Выявить возможности электронных образовательных ресурсов в формировании познавательных универсальных учебных действий младших школьников на уроках математики.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3. Подобрать и обосновать комплекс диагностических методик, н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 xml:space="preserve">правленных на выявление уровня </w:t>
      </w:r>
      <w:proofErr w:type="spellStart"/>
      <w:r w:rsidRPr="00DE345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E3456">
        <w:rPr>
          <w:rFonts w:ascii="Times New Roman" w:hAnsi="Times New Roman" w:cs="Times New Roman"/>
          <w:sz w:val="24"/>
          <w:szCs w:val="24"/>
        </w:rPr>
        <w:t xml:space="preserve"> познавательных ун</w:t>
      </w:r>
      <w:r w:rsidRPr="00DE3456">
        <w:rPr>
          <w:rFonts w:ascii="Times New Roman" w:hAnsi="Times New Roman" w:cs="Times New Roman"/>
          <w:sz w:val="24"/>
          <w:szCs w:val="24"/>
        </w:rPr>
        <w:t>и</w:t>
      </w:r>
      <w:r w:rsidRPr="00DE3456">
        <w:rPr>
          <w:rFonts w:ascii="Times New Roman" w:hAnsi="Times New Roman" w:cs="Times New Roman"/>
          <w:sz w:val="24"/>
          <w:szCs w:val="24"/>
        </w:rPr>
        <w:t>версальных учебных действий у младших школьников.</w:t>
      </w:r>
    </w:p>
    <w:p w:rsidR="004E1B75" w:rsidRPr="00DE3456" w:rsidRDefault="004E1B7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4. Разработать и реализовать систему учебных ситуаций с использов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нием электронных образовательных ресурсов на уроках математики в н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чальной школе.</w:t>
      </w:r>
    </w:p>
    <w:p w:rsidR="00255B56" w:rsidRPr="00DE3456" w:rsidRDefault="00255B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 xml:space="preserve">При решении </w:t>
      </w:r>
      <w:r w:rsidRPr="00DE3456">
        <w:rPr>
          <w:rFonts w:ascii="Times New Roman" w:hAnsi="Times New Roman" w:cs="Times New Roman"/>
          <w:b/>
          <w:sz w:val="24"/>
          <w:szCs w:val="24"/>
          <w:u w:val="single"/>
        </w:rPr>
        <w:t>первой задачи</w:t>
      </w:r>
      <w:r w:rsidRPr="00DE3456">
        <w:rPr>
          <w:rFonts w:ascii="Times New Roman" w:hAnsi="Times New Roman" w:cs="Times New Roman"/>
          <w:sz w:val="24"/>
          <w:szCs w:val="24"/>
        </w:rPr>
        <w:t xml:space="preserve"> исследования мы дали определение универсальным учебным действиям. </w:t>
      </w:r>
      <w:r w:rsidRPr="006D11E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  <w:r w:rsidRPr="00DE3456">
        <w:rPr>
          <w:rFonts w:ascii="Times New Roman" w:hAnsi="Times New Roman" w:cs="Times New Roman"/>
          <w:sz w:val="24"/>
          <w:szCs w:val="24"/>
        </w:rPr>
        <w:t xml:space="preserve"> – это обобщенные действия, откр</w:t>
      </w:r>
      <w:r w:rsidRPr="00DE3456">
        <w:rPr>
          <w:rFonts w:ascii="Times New Roman" w:hAnsi="Times New Roman" w:cs="Times New Roman"/>
          <w:sz w:val="24"/>
          <w:szCs w:val="24"/>
        </w:rPr>
        <w:t>ы</w:t>
      </w:r>
      <w:r w:rsidRPr="00DE3456">
        <w:rPr>
          <w:rFonts w:ascii="Times New Roman" w:hAnsi="Times New Roman" w:cs="Times New Roman"/>
          <w:sz w:val="24"/>
          <w:szCs w:val="24"/>
        </w:rPr>
        <w:t>вающие возможность широкой ориентации учащихся,   как в различных предметных областях, так и в строении самой учебной деятельности, вкл</w:t>
      </w:r>
      <w:r w:rsidRPr="00DE3456">
        <w:rPr>
          <w:rFonts w:ascii="Times New Roman" w:hAnsi="Times New Roman" w:cs="Times New Roman"/>
          <w:sz w:val="24"/>
          <w:szCs w:val="24"/>
        </w:rPr>
        <w:t>ю</w:t>
      </w:r>
      <w:r w:rsidRPr="00DE3456">
        <w:rPr>
          <w:rFonts w:ascii="Times New Roman" w:hAnsi="Times New Roman" w:cs="Times New Roman"/>
          <w:sz w:val="24"/>
          <w:szCs w:val="24"/>
        </w:rPr>
        <w:t xml:space="preserve">чая осознание учащимися ее целевой направленности, ценностно-смысловых и </w:t>
      </w:r>
      <w:proofErr w:type="spellStart"/>
      <w:r w:rsidRPr="00DE3456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DE3456">
        <w:rPr>
          <w:rFonts w:ascii="Times New Roman" w:hAnsi="Times New Roman" w:cs="Times New Roman"/>
          <w:sz w:val="24"/>
          <w:szCs w:val="24"/>
        </w:rPr>
        <w:t xml:space="preserve"> характеристик. 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основных видов универсальных учебных действий, соотве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ствующих ключевым целям общего образования, можно выделить три блока: личностные; </w:t>
      </w:r>
      <w:proofErr w:type="spell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предметные [17]. </w:t>
      </w:r>
    </w:p>
    <w:p w:rsidR="00255B56" w:rsidRPr="00DE3456" w:rsidRDefault="00255B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456">
        <w:rPr>
          <w:rFonts w:ascii="Times New Roman" w:hAnsi="Times New Roman" w:cs="Times New Roman"/>
          <w:sz w:val="24"/>
          <w:szCs w:val="24"/>
        </w:rPr>
        <w:t>Для нашего исследования важно определить, что представляют собой познавательные УУД.</w:t>
      </w:r>
      <w:proofErr w:type="gramEnd"/>
      <w:r w:rsidRPr="00DE3456">
        <w:rPr>
          <w:rFonts w:ascii="Times New Roman" w:hAnsi="Times New Roman" w:cs="Times New Roman"/>
          <w:sz w:val="24"/>
          <w:szCs w:val="24"/>
        </w:rPr>
        <w:t xml:space="preserve"> </w:t>
      </w:r>
      <w:r w:rsidRPr="00DE345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DE3456">
        <w:rPr>
          <w:rFonts w:ascii="Times New Roman" w:hAnsi="Times New Roman" w:cs="Times New Roman"/>
          <w:sz w:val="24"/>
          <w:szCs w:val="24"/>
        </w:rPr>
        <w:t xml:space="preserve"> – это особая избирательная направленность личности на процесс познания; ее избирательный характер выражен в той или иной предметной области зн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ний.</w:t>
      </w:r>
    </w:p>
    <w:p w:rsidR="00255B56" w:rsidRPr="00DE3456" w:rsidRDefault="00255B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 – это один из ва</w:t>
      </w:r>
      <w:r w:rsidRPr="00DE3456">
        <w:rPr>
          <w:rFonts w:ascii="Times New Roman" w:hAnsi="Times New Roman" w:cs="Times New Roman"/>
          <w:sz w:val="24"/>
          <w:szCs w:val="24"/>
        </w:rPr>
        <w:t>ж</w:t>
      </w:r>
      <w:r w:rsidRPr="00DE3456">
        <w:rPr>
          <w:rFonts w:ascii="Times New Roman" w:hAnsi="Times New Roman" w:cs="Times New Roman"/>
          <w:sz w:val="24"/>
          <w:szCs w:val="24"/>
        </w:rPr>
        <w:t>нейших мотивов учения школьников. Под их влиянием учебная работа даже у слабых учеников протекает более продуктивно. Познавательные униве</w:t>
      </w:r>
      <w:r w:rsidRPr="00DE3456">
        <w:rPr>
          <w:rFonts w:ascii="Times New Roman" w:hAnsi="Times New Roman" w:cs="Times New Roman"/>
          <w:sz w:val="24"/>
          <w:szCs w:val="24"/>
        </w:rPr>
        <w:t>р</w:t>
      </w:r>
      <w:r w:rsidRPr="00DE3456">
        <w:rPr>
          <w:rFonts w:ascii="Times New Roman" w:hAnsi="Times New Roman" w:cs="Times New Roman"/>
          <w:sz w:val="24"/>
          <w:szCs w:val="24"/>
        </w:rPr>
        <w:t>сальные учебные действия при правильной педагогической организации де</w:t>
      </w:r>
      <w:r w:rsidRPr="00DE3456">
        <w:rPr>
          <w:rFonts w:ascii="Times New Roman" w:hAnsi="Times New Roman" w:cs="Times New Roman"/>
          <w:sz w:val="24"/>
          <w:szCs w:val="24"/>
        </w:rPr>
        <w:t>я</w:t>
      </w:r>
      <w:r w:rsidRPr="00DE3456">
        <w:rPr>
          <w:rFonts w:ascii="Times New Roman" w:hAnsi="Times New Roman" w:cs="Times New Roman"/>
          <w:sz w:val="24"/>
          <w:szCs w:val="24"/>
        </w:rPr>
        <w:t xml:space="preserve">тельности учащихся и систематической и </w:t>
      </w:r>
      <w:r w:rsidRPr="00DE3456">
        <w:rPr>
          <w:rFonts w:ascii="Times New Roman" w:hAnsi="Times New Roman" w:cs="Times New Roman"/>
          <w:sz w:val="24"/>
          <w:szCs w:val="24"/>
        </w:rPr>
        <w:lastRenderedPageBreak/>
        <w:t>целенаправленной воспитательной деятельности могут и должны стать устойчивой чертой личности школьника и оказывать сильное влияние на его развитие.</w:t>
      </w:r>
    </w:p>
    <w:p w:rsidR="00255B56" w:rsidRDefault="00255B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Отметим, что блок познавательных учебных действий наиболее объе</w:t>
      </w:r>
      <w:r w:rsidRPr="00DE3456">
        <w:rPr>
          <w:rFonts w:ascii="Times New Roman" w:hAnsi="Times New Roman" w:cs="Times New Roman"/>
          <w:sz w:val="24"/>
          <w:szCs w:val="24"/>
        </w:rPr>
        <w:t>м</w:t>
      </w:r>
      <w:r w:rsidRPr="00DE3456">
        <w:rPr>
          <w:rFonts w:ascii="Times New Roman" w:hAnsi="Times New Roman" w:cs="Times New Roman"/>
          <w:sz w:val="24"/>
          <w:szCs w:val="24"/>
        </w:rPr>
        <w:t>ный и включает три вида</w:t>
      </w:r>
      <w:r w:rsidR="006D11E1">
        <w:rPr>
          <w:rFonts w:ascii="Times New Roman" w:hAnsi="Times New Roman" w:cs="Times New Roman"/>
          <w:sz w:val="24"/>
          <w:szCs w:val="24"/>
        </w:rPr>
        <w:t>: базовые логические действия, базовые исследовательские действия, работа с информацией.</w:t>
      </w:r>
    </w:p>
    <w:p w:rsidR="006D11E1" w:rsidRPr="00DE3456" w:rsidRDefault="006D11E1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558"/>
        <w:gridCol w:w="2145"/>
        <w:gridCol w:w="6873"/>
      </w:tblGrid>
      <w:tr w:rsidR="00255B56" w:rsidRPr="00DE3456" w:rsidTr="00B849C7">
        <w:tc>
          <w:tcPr>
            <w:tcW w:w="0" w:type="auto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</w:t>
            </w:r>
            <w:proofErr w:type="gramStart"/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gramEnd"/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Подвиды</w:t>
            </w:r>
          </w:p>
        </w:tc>
      </w:tr>
      <w:tr w:rsidR="00255B56" w:rsidRPr="00DE3456" w:rsidTr="00B849C7">
        <w:tc>
          <w:tcPr>
            <w:tcW w:w="0" w:type="auto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Базовые логич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 действия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-сравнивать объекты, устанавливать основания для сравнения, устанавливать аналогии;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-объединять части объекта (объекты) по определенному призн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-определять существенный признак для классификации, кла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сифицировать предложенные объекты;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-находить закономерности и противоречия в рассматриваемых фактах, данных и наблюдениях на основе предложенного пед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гогическим работником алгоритма;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-выявлять недостаток информации для решения учебной или практической задачи на основе предложенного алгоритма;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-устанавливать причинно-следственные связи в ситуациях, по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дающихся непосредственному наблюдению или знакомых по опыту, делать выводы;</w:t>
            </w:r>
          </w:p>
        </w:tc>
      </w:tr>
      <w:tr w:rsidR="00255B56" w:rsidRPr="00DE3456" w:rsidTr="00B849C7">
        <w:tc>
          <w:tcPr>
            <w:tcW w:w="0" w:type="auto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Базовые исследовательские дейс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вия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-определять разрыв между реальным и желательным состоянием объекта (ситуации) на основе предложенных учителем в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просов;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-формулировать цель при помощи учителя, планировать изм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объекта, ситуации;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-сравнивать несколько вариантов решения задачи, выбирать наиболее </w:t>
            </w:r>
            <w:proofErr w:type="gramStart"/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подходящий</w:t>
            </w:r>
            <w:proofErr w:type="gramEnd"/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-проводить по предложенному плану опыт, несложное исслед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по установлению особенностей объекта изучения и связей между объектами;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-формулировать выводы и подкреплять их доказательствами на основе результатов проведенного наблюдения (опыта, измер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классификации, сравнения, исследования);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-прогнозировать возможное развитие процессов, событий и их последствия в аналогичных или сходных ситуациях;</w:t>
            </w:r>
          </w:p>
        </w:tc>
      </w:tr>
      <w:tr w:rsidR="00255B56" w:rsidRPr="00DE3456" w:rsidTr="00B849C7">
        <w:tc>
          <w:tcPr>
            <w:tcW w:w="0" w:type="auto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инфо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мацией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-выбирать источник получения информации;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заданному алгоритму находить в предложенном и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точнике информацию;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-распознавать достоверную и недостоверную информацию самостоятельно или на основании предложенного учителем сп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соба ее проверки;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-соблюдать с помощью взрослых правила информационной безопасности при поиске информации в сети Интернет;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-анализировать и создавать текстовую, видео, графическую, звуковую, информацию в соответствии с учебной задачей;</w:t>
            </w:r>
          </w:p>
          <w:p w:rsidR="00255B56" w:rsidRPr="00DE3456" w:rsidRDefault="00255B56" w:rsidP="006D11E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-самостоятельно создавать схемы, таблицы для представления информации.</w:t>
            </w:r>
          </w:p>
        </w:tc>
      </w:tr>
    </w:tbl>
    <w:p w:rsidR="00255B56" w:rsidRPr="00DE3456" w:rsidRDefault="00255B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B56" w:rsidRPr="00DE3456" w:rsidRDefault="00255B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lastRenderedPageBreak/>
        <w:t>Согласно критериям познавательных УУД в результате освоения пр</w:t>
      </w:r>
      <w:r w:rsidRPr="00DE3456">
        <w:rPr>
          <w:rFonts w:ascii="Times New Roman" w:hAnsi="Times New Roman" w:cs="Times New Roman"/>
          <w:sz w:val="24"/>
          <w:szCs w:val="24"/>
        </w:rPr>
        <w:t>о</w:t>
      </w:r>
      <w:r w:rsidRPr="00DE3456">
        <w:rPr>
          <w:rFonts w:ascii="Times New Roman" w:hAnsi="Times New Roman" w:cs="Times New Roman"/>
          <w:sz w:val="24"/>
          <w:szCs w:val="24"/>
        </w:rPr>
        <w:t>граммы начального общего образования младший школьник должен на</w:t>
      </w:r>
      <w:r w:rsidRPr="00DE3456">
        <w:rPr>
          <w:rFonts w:ascii="Times New Roman" w:hAnsi="Times New Roman" w:cs="Times New Roman"/>
          <w:sz w:val="24"/>
          <w:szCs w:val="24"/>
        </w:rPr>
        <w:t>у</w:t>
      </w:r>
      <w:r w:rsidRPr="00DE3456">
        <w:rPr>
          <w:rFonts w:ascii="Times New Roman" w:hAnsi="Times New Roman" w:cs="Times New Roman"/>
          <w:sz w:val="24"/>
          <w:szCs w:val="24"/>
        </w:rPr>
        <w:t xml:space="preserve">читься: эффективно и целесообразно пользоваться знаково-символическими средствами, схемами и моделями; самостоятельно искать информацию, в том числе используя учебную литературу, которая необходима ему для выполнения учебных заданий; выстраивать устные и письменные высказывания; владеть общим приемом решения задач; </w:t>
      </w:r>
      <w:proofErr w:type="gramStart"/>
      <w:r w:rsidRPr="00DE3456">
        <w:rPr>
          <w:rFonts w:ascii="Times New Roman" w:hAnsi="Times New Roman" w:cs="Times New Roman"/>
          <w:sz w:val="24"/>
          <w:szCs w:val="24"/>
        </w:rPr>
        <w:t>при работе с задачами ориентироваться в различных способах их р</w:t>
      </w:r>
      <w:r w:rsidRPr="00DE3456">
        <w:rPr>
          <w:rFonts w:ascii="Times New Roman" w:hAnsi="Times New Roman" w:cs="Times New Roman"/>
          <w:sz w:val="24"/>
          <w:szCs w:val="24"/>
        </w:rPr>
        <w:t>е</w:t>
      </w:r>
      <w:r w:rsidRPr="00DE3456">
        <w:rPr>
          <w:rFonts w:ascii="Times New Roman" w:hAnsi="Times New Roman" w:cs="Times New Roman"/>
          <w:sz w:val="24"/>
          <w:szCs w:val="24"/>
        </w:rPr>
        <w:t>шения; уметь понимать смысл художественных и познавательных текстов, при этом выделяя основную и значимую информацию; самостоятельно проводить сравнение по заданным критериям; выделять существенные и несущественные признаки объекта при его анализе; устанавливать причинно-следственные связи; строить рассуждения в форме связи простых суждений об объекте, его строении, свойствах и связях;</w:t>
      </w:r>
      <w:proofErr w:type="gramEnd"/>
      <w:r w:rsidRPr="00DE3456">
        <w:rPr>
          <w:rFonts w:ascii="Times New Roman" w:hAnsi="Times New Roman" w:cs="Times New Roman"/>
          <w:sz w:val="24"/>
          <w:szCs w:val="24"/>
        </w:rPr>
        <w:t xml:space="preserve"> уметь обобщать на основе выделения сущностной связи; устанавливать аналогии;  осуществлять подведение под понятие на основе распознавания об</w:t>
      </w:r>
      <w:r w:rsidRPr="00DE3456">
        <w:rPr>
          <w:rFonts w:ascii="Times New Roman" w:hAnsi="Times New Roman" w:cs="Times New Roman"/>
          <w:sz w:val="24"/>
          <w:szCs w:val="24"/>
        </w:rPr>
        <w:t>ъ</w:t>
      </w:r>
      <w:r w:rsidRPr="00DE3456">
        <w:rPr>
          <w:rFonts w:ascii="Times New Roman" w:hAnsi="Times New Roman" w:cs="Times New Roman"/>
          <w:sz w:val="24"/>
          <w:szCs w:val="24"/>
        </w:rPr>
        <w:t>ектов, выделения существенных признаков и их синтеза [13].</w:t>
      </w:r>
    </w:p>
    <w:p w:rsidR="00255B56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 xml:space="preserve">При исследовании </w:t>
      </w:r>
      <w:r w:rsidRPr="00DE3456">
        <w:rPr>
          <w:rFonts w:ascii="Times New Roman" w:hAnsi="Times New Roman" w:cs="Times New Roman"/>
          <w:b/>
          <w:sz w:val="24"/>
          <w:szCs w:val="24"/>
          <w:u w:val="single"/>
        </w:rPr>
        <w:t>второй задачи</w:t>
      </w:r>
      <w:r w:rsidRPr="00DE3456">
        <w:rPr>
          <w:rFonts w:ascii="Times New Roman" w:hAnsi="Times New Roman" w:cs="Times New Roman"/>
          <w:sz w:val="24"/>
          <w:szCs w:val="24"/>
        </w:rPr>
        <w:t xml:space="preserve"> мы выяснили возможности электронных образовательных  ресурсов в формировании познавательных учебных действий у младших школьников. 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В Федеральном законе «Об образовании в Российской Федерации» в статье 16 обращается внимание на целесообразность использования эле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тронных образовательных ресурсов и дистанционных образовательных те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нологий при реализации образовательных программ в порядке, установленном федеральным органом исполнительной власти. При этом следует отметить, что данные технологии в период распространения пандемии </w:t>
      </w:r>
      <w:proofErr w:type="spell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коронавируса</w:t>
      </w:r>
      <w:proofErr w:type="spell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приобрели особую актуальность и доказали свою эффективность в обр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зовательном процессе [21].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Следует отметить, что в научной литературе представлены различные определения понятия «электронные образовательные ресурсы».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 xml:space="preserve">Согласно ГОСТ 53620-2009 </w:t>
      </w:r>
      <w:r w:rsidRPr="00DE3456">
        <w:rPr>
          <w:rFonts w:ascii="Times New Roman" w:hAnsi="Times New Roman" w:cs="Times New Roman"/>
          <w:b/>
          <w:sz w:val="24"/>
          <w:szCs w:val="24"/>
        </w:rPr>
        <w:t>электронный образовательный ресурс</w:t>
      </w:r>
      <w:r w:rsidRPr="00DE3456">
        <w:rPr>
          <w:rFonts w:ascii="Times New Roman" w:hAnsi="Times New Roman" w:cs="Times New Roman"/>
          <w:sz w:val="24"/>
          <w:szCs w:val="24"/>
        </w:rPr>
        <w:t xml:space="preserve"> – это образовательный ресурс, представленный в электронно-цифровой форме и включающий в себя структуру, предметное содержание и метаданные о них.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Важно обратить внимание на то, что ЭОР – это не только результат п</w:t>
      </w:r>
      <w:r w:rsidRPr="00DE3456">
        <w:rPr>
          <w:rFonts w:ascii="Times New Roman" w:hAnsi="Times New Roman" w:cs="Times New Roman"/>
          <w:sz w:val="24"/>
          <w:szCs w:val="24"/>
        </w:rPr>
        <w:t>е</w:t>
      </w:r>
      <w:r w:rsidRPr="00DE3456">
        <w:rPr>
          <w:rFonts w:ascii="Times New Roman" w:hAnsi="Times New Roman" w:cs="Times New Roman"/>
          <w:sz w:val="24"/>
          <w:szCs w:val="24"/>
        </w:rPr>
        <w:t>ревода в электронный формат уже имеющихся учебных материалов. Как о</w:t>
      </w:r>
      <w:r w:rsidRPr="00DE3456">
        <w:rPr>
          <w:rFonts w:ascii="Times New Roman" w:hAnsi="Times New Roman" w:cs="Times New Roman"/>
          <w:sz w:val="24"/>
          <w:szCs w:val="24"/>
        </w:rPr>
        <w:t>т</w:t>
      </w:r>
      <w:r w:rsidRPr="00DE3456">
        <w:rPr>
          <w:rFonts w:ascii="Times New Roman" w:hAnsi="Times New Roman" w:cs="Times New Roman"/>
          <w:sz w:val="24"/>
          <w:szCs w:val="24"/>
        </w:rPr>
        <w:t xml:space="preserve">мечает Т.Н. </w:t>
      </w:r>
      <w:proofErr w:type="spellStart"/>
      <w:r w:rsidRPr="00DE3456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DE3456">
        <w:rPr>
          <w:rFonts w:ascii="Times New Roman" w:hAnsi="Times New Roman" w:cs="Times New Roman"/>
          <w:sz w:val="24"/>
          <w:szCs w:val="24"/>
        </w:rPr>
        <w:t>, это «основа для организации учителем различных в</w:t>
      </w:r>
      <w:r w:rsidRPr="00DE3456">
        <w:rPr>
          <w:rFonts w:ascii="Times New Roman" w:hAnsi="Times New Roman" w:cs="Times New Roman"/>
          <w:sz w:val="24"/>
          <w:szCs w:val="24"/>
        </w:rPr>
        <w:t>и</w:t>
      </w:r>
      <w:r w:rsidRPr="00DE3456">
        <w:rPr>
          <w:rFonts w:ascii="Times New Roman" w:hAnsi="Times New Roman" w:cs="Times New Roman"/>
          <w:sz w:val="24"/>
          <w:szCs w:val="24"/>
        </w:rPr>
        <w:t>дов деятельности обучающихся, в процессе которых будут формироваться необходимые компетенции» [14]. В этой ситуации участники образовател</w:t>
      </w:r>
      <w:r w:rsidRPr="00DE3456">
        <w:rPr>
          <w:rFonts w:ascii="Times New Roman" w:hAnsi="Times New Roman" w:cs="Times New Roman"/>
          <w:sz w:val="24"/>
          <w:szCs w:val="24"/>
        </w:rPr>
        <w:t>ь</w:t>
      </w:r>
      <w:r w:rsidRPr="00DE3456">
        <w:rPr>
          <w:rFonts w:ascii="Times New Roman" w:hAnsi="Times New Roman" w:cs="Times New Roman"/>
          <w:sz w:val="24"/>
          <w:szCs w:val="24"/>
        </w:rPr>
        <w:t xml:space="preserve">ного процесса могут самостоятельно управлять происходящим, а не быть пассивными зрителями или слушателями, потому что имеют дело с </w:t>
      </w:r>
      <w:proofErr w:type="spellStart"/>
      <w:r w:rsidRPr="00DE3456">
        <w:rPr>
          <w:rFonts w:ascii="Times New Roman" w:hAnsi="Times New Roman" w:cs="Times New Roman"/>
          <w:sz w:val="24"/>
          <w:szCs w:val="24"/>
        </w:rPr>
        <w:t>мульт</w:t>
      </w:r>
      <w:r w:rsidRPr="00DE3456">
        <w:rPr>
          <w:rFonts w:ascii="Times New Roman" w:hAnsi="Times New Roman" w:cs="Times New Roman"/>
          <w:sz w:val="24"/>
          <w:szCs w:val="24"/>
        </w:rPr>
        <w:t>и</w:t>
      </w:r>
      <w:r w:rsidRPr="00DE3456">
        <w:rPr>
          <w:rFonts w:ascii="Times New Roman" w:hAnsi="Times New Roman" w:cs="Times New Roman"/>
          <w:sz w:val="24"/>
          <w:szCs w:val="24"/>
        </w:rPr>
        <w:t>медийным</w:t>
      </w:r>
      <w:proofErr w:type="spellEnd"/>
      <w:r w:rsidRPr="00DE3456">
        <w:rPr>
          <w:rFonts w:ascii="Times New Roman" w:hAnsi="Times New Roman" w:cs="Times New Roman"/>
          <w:sz w:val="24"/>
          <w:szCs w:val="24"/>
        </w:rPr>
        <w:t xml:space="preserve"> интерактивным учебным продуктом.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 xml:space="preserve">Среди возможных </w:t>
      </w:r>
      <w:r w:rsidRPr="00DE3456">
        <w:rPr>
          <w:rFonts w:ascii="Times New Roman" w:hAnsi="Times New Roman" w:cs="Times New Roman"/>
          <w:b/>
          <w:sz w:val="24"/>
          <w:szCs w:val="24"/>
        </w:rPr>
        <w:t>методических приемов</w:t>
      </w:r>
      <w:r w:rsidRPr="00DE3456">
        <w:rPr>
          <w:rFonts w:ascii="Times New Roman" w:hAnsi="Times New Roman" w:cs="Times New Roman"/>
          <w:sz w:val="24"/>
          <w:szCs w:val="24"/>
        </w:rPr>
        <w:t>, которые целесообразно и</w:t>
      </w:r>
      <w:r w:rsidRPr="00DE3456">
        <w:rPr>
          <w:rFonts w:ascii="Times New Roman" w:hAnsi="Times New Roman" w:cs="Times New Roman"/>
          <w:sz w:val="24"/>
          <w:szCs w:val="24"/>
        </w:rPr>
        <w:t>с</w:t>
      </w:r>
      <w:r w:rsidRPr="00DE3456">
        <w:rPr>
          <w:rFonts w:ascii="Times New Roman" w:hAnsi="Times New Roman" w:cs="Times New Roman"/>
          <w:sz w:val="24"/>
          <w:szCs w:val="24"/>
        </w:rPr>
        <w:t>пользовать на уроках математики в начальной школе, особо следует выд</w:t>
      </w:r>
      <w:r w:rsidRPr="00DE3456">
        <w:rPr>
          <w:rFonts w:ascii="Times New Roman" w:hAnsi="Times New Roman" w:cs="Times New Roman"/>
          <w:sz w:val="24"/>
          <w:szCs w:val="24"/>
        </w:rPr>
        <w:t>е</w:t>
      </w:r>
      <w:r w:rsidRPr="00DE3456">
        <w:rPr>
          <w:rFonts w:ascii="Times New Roman" w:hAnsi="Times New Roman" w:cs="Times New Roman"/>
          <w:sz w:val="24"/>
          <w:szCs w:val="24"/>
        </w:rPr>
        <w:t>лить те, которые направлены на активизацию самостоятельной учебной де</w:t>
      </w:r>
      <w:r w:rsidRPr="00DE3456">
        <w:rPr>
          <w:rFonts w:ascii="Times New Roman" w:hAnsi="Times New Roman" w:cs="Times New Roman"/>
          <w:sz w:val="24"/>
          <w:szCs w:val="24"/>
        </w:rPr>
        <w:t>я</w:t>
      </w:r>
      <w:r w:rsidRPr="00DE3456">
        <w:rPr>
          <w:rFonts w:ascii="Times New Roman" w:hAnsi="Times New Roman" w:cs="Times New Roman"/>
          <w:sz w:val="24"/>
          <w:szCs w:val="24"/>
        </w:rPr>
        <w:t>тельности и формирование познавательных УУД: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- индивидуальная работа с электронным учебным материалом, напра</w:t>
      </w:r>
      <w:r w:rsidRPr="00DE3456">
        <w:rPr>
          <w:rFonts w:ascii="Times New Roman" w:hAnsi="Times New Roman" w:cs="Times New Roman"/>
          <w:sz w:val="24"/>
          <w:szCs w:val="24"/>
        </w:rPr>
        <w:t>в</w:t>
      </w:r>
      <w:r w:rsidRPr="00DE3456">
        <w:rPr>
          <w:rFonts w:ascii="Times New Roman" w:hAnsi="Times New Roman" w:cs="Times New Roman"/>
          <w:sz w:val="24"/>
          <w:szCs w:val="24"/>
        </w:rPr>
        <w:t>ленная на развитие навыков самоконтроля, исследования, создания образов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тельного продукта и др.;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- работа в парах для получения консультативной помощи, развития н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выков совместной учебной деятельности, взаимопомощи, ответственности за общий результат и др.;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- использование электронных ресурсов в качестве источника информ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ции по правилам при работе в группах и индивидуально;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- применение современных информационных технологий для офор</w:t>
      </w:r>
      <w:r w:rsidRPr="00DE3456">
        <w:rPr>
          <w:rFonts w:ascii="Times New Roman" w:hAnsi="Times New Roman" w:cs="Times New Roman"/>
          <w:sz w:val="24"/>
          <w:szCs w:val="24"/>
        </w:rPr>
        <w:t>м</w:t>
      </w:r>
      <w:r w:rsidRPr="00DE3456">
        <w:rPr>
          <w:rFonts w:ascii="Times New Roman" w:hAnsi="Times New Roman" w:cs="Times New Roman"/>
          <w:sz w:val="24"/>
          <w:szCs w:val="24"/>
        </w:rPr>
        <w:t>ления и представления результатов индивидуальной или групповой проек</w:t>
      </w:r>
      <w:r w:rsidRPr="00DE3456">
        <w:rPr>
          <w:rFonts w:ascii="Times New Roman" w:hAnsi="Times New Roman" w:cs="Times New Roman"/>
          <w:sz w:val="24"/>
          <w:szCs w:val="24"/>
        </w:rPr>
        <w:t>т</w:t>
      </w:r>
      <w:r w:rsidRPr="00DE3456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- выполнение интерактивных заданий, позволяющих стимулировать познавательную деятельность;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lastRenderedPageBreak/>
        <w:t>- «работа с оператором», целью которой является развитие визуального восприятия информации, организационных навыков и др.;</w:t>
      </w:r>
    </w:p>
    <w:p w:rsidR="009106C5" w:rsidRPr="00DE3456" w:rsidRDefault="009106C5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- индивидуальное выполнение интерактивного задания с целью созд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ния эталона для самопроверки, подготовки материала для коллективного о</w:t>
      </w:r>
      <w:r w:rsidRPr="00DE3456">
        <w:rPr>
          <w:rFonts w:ascii="Times New Roman" w:hAnsi="Times New Roman" w:cs="Times New Roman"/>
          <w:sz w:val="24"/>
          <w:szCs w:val="24"/>
        </w:rPr>
        <w:t>б</w:t>
      </w:r>
      <w:r w:rsidRPr="00DE3456">
        <w:rPr>
          <w:rFonts w:ascii="Times New Roman" w:hAnsi="Times New Roman" w:cs="Times New Roman"/>
          <w:sz w:val="24"/>
          <w:szCs w:val="24"/>
        </w:rPr>
        <w:t>суждения [3].</w:t>
      </w:r>
    </w:p>
    <w:p w:rsidR="009644F9" w:rsidRPr="00DE3456" w:rsidRDefault="009644F9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456">
        <w:rPr>
          <w:rFonts w:ascii="Times New Roman" w:hAnsi="Times New Roman" w:cs="Times New Roman"/>
          <w:sz w:val="24"/>
          <w:szCs w:val="24"/>
        </w:rPr>
        <w:t>Анализ современных ЭОР для уроков математики в начальной школе показывает, что многие из них ориентированы на развитие логического и о</w:t>
      </w:r>
      <w:r w:rsidRPr="00DE3456">
        <w:rPr>
          <w:rFonts w:ascii="Times New Roman" w:hAnsi="Times New Roman" w:cs="Times New Roman"/>
          <w:sz w:val="24"/>
          <w:szCs w:val="24"/>
        </w:rPr>
        <w:t>б</w:t>
      </w:r>
      <w:r w:rsidRPr="00DE3456">
        <w:rPr>
          <w:rFonts w:ascii="Times New Roman" w:hAnsi="Times New Roman" w:cs="Times New Roman"/>
          <w:sz w:val="24"/>
          <w:szCs w:val="24"/>
        </w:rPr>
        <w:t>разного мышления посредством использования выразительной наглядности.</w:t>
      </w:r>
      <w:proofErr w:type="gramEnd"/>
      <w:r w:rsidRPr="00DE3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45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E3456">
        <w:rPr>
          <w:rFonts w:ascii="Times New Roman" w:hAnsi="Times New Roman" w:cs="Times New Roman"/>
          <w:sz w:val="24"/>
          <w:szCs w:val="24"/>
        </w:rPr>
        <w:t xml:space="preserve"> прежде всего проявляется в создании модулей программно-педагогических средств, содержащих специфически организованного иллюстративного дидактического материала. Например, при решении задач и</w:t>
      </w:r>
      <w:r w:rsidRPr="00DE3456">
        <w:rPr>
          <w:rFonts w:ascii="Times New Roman" w:hAnsi="Times New Roman" w:cs="Times New Roman"/>
          <w:sz w:val="24"/>
          <w:szCs w:val="24"/>
        </w:rPr>
        <w:t>с</w:t>
      </w:r>
      <w:r w:rsidRPr="00DE3456">
        <w:rPr>
          <w:rFonts w:ascii="Times New Roman" w:hAnsi="Times New Roman" w:cs="Times New Roman"/>
          <w:sz w:val="24"/>
          <w:szCs w:val="24"/>
        </w:rPr>
        <w:t>пользуются flash-ролики с растущими на клумбе цветами, плывущими по морю кораблями и т. д</w:t>
      </w:r>
      <w:proofErr w:type="gramStart"/>
      <w:r w:rsidRPr="00DE345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E3456">
        <w:rPr>
          <w:rFonts w:ascii="Times New Roman" w:hAnsi="Times New Roman" w:cs="Times New Roman"/>
          <w:sz w:val="24"/>
          <w:szCs w:val="24"/>
        </w:rPr>
        <w:t>очетание звукового сопровождения, анимации, кра</w:t>
      </w:r>
      <w:r w:rsidRPr="00DE3456">
        <w:rPr>
          <w:rFonts w:ascii="Times New Roman" w:hAnsi="Times New Roman" w:cs="Times New Roman"/>
          <w:sz w:val="24"/>
          <w:szCs w:val="24"/>
        </w:rPr>
        <w:t>т</w:t>
      </w:r>
      <w:r w:rsidRPr="00DE3456">
        <w:rPr>
          <w:rFonts w:ascii="Times New Roman" w:hAnsi="Times New Roman" w:cs="Times New Roman"/>
          <w:sz w:val="24"/>
          <w:szCs w:val="24"/>
        </w:rPr>
        <w:t>кого пояснения и символических (знаковых) записей позволяет презентовать эти материалы с наибольшей эффективностью, что способствует формиров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нию познавательных УУД [6].</w:t>
      </w:r>
    </w:p>
    <w:p w:rsidR="009644F9" w:rsidRPr="00DE3456" w:rsidRDefault="009644F9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В качестве тренировочных упражнений в электронных учебных пос</w:t>
      </w:r>
      <w:r w:rsidRPr="00DE3456">
        <w:rPr>
          <w:rFonts w:ascii="Times New Roman" w:hAnsi="Times New Roman" w:cs="Times New Roman"/>
          <w:sz w:val="24"/>
          <w:szCs w:val="24"/>
        </w:rPr>
        <w:t>о</w:t>
      </w:r>
      <w:r w:rsidRPr="00DE3456">
        <w:rPr>
          <w:rFonts w:ascii="Times New Roman" w:hAnsi="Times New Roman" w:cs="Times New Roman"/>
          <w:sz w:val="24"/>
          <w:szCs w:val="24"/>
        </w:rPr>
        <w:t>биях выступают задания, направленные на усвоение правил, определенных школьной программой. В компьютерные программы разработчики часто включают игры, в которых ученику предлагается помочь какому-либо сказочному герою, преодолеть препятствия. Мгновенная реакция в виде аним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ции и появления занимательных символов позволяет ученику контролир</w:t>
      </w:r>
      <w:r w:rsidRPr="00DE3456">
        <w:rPr>
          <w:rFonts w:ascii="Times New Roman" w:hAnsi="Times New Roman" w:cs="Times New Roman"/>
          <w:sz w:val="24"/>
          <w:szCs w:val="24"/>
        </w:rPr>
        <w:t>о</w:t>
      </w:r>
      <w:r w:rsidRPr="00DE3456">
        <w:rPr>
          <w:rFonts w:ascii="Times New Roman" w:hAnsi="Times New Roman" w:cs="Times New Roman"/>
          <w:sz w:val="24"/>
          <w:szCs w:val="24"/>
        </w:rPr>
        <w:t>вать правильность своего выбора, превращает тренировочное упражнение в увлекательную игру. При этом символы, обозначающие неверный выбор, в соответствии с законами эргономики размещаются в правом верхнем углу экрана.</w:t>
      </w:r>
    </w:p>
    <w:p w:rsidR="009644F9" w:rsidRPr="00DE3456" w:rsidRDefault="009644F9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Особое место в электронных учебных пособиях по математике зан</w:t>
      </w:r>
      <w:r w:rsidRPr="00DE3456">
        <w:rPr>
          <w:rFonts w:ascii="Times New Roman" w:hAnsi="Times New Roman" w:cs="Times New Roman"/>
          <w:sz w:val="24"/>
          <w:szCs w:val="24"/>
        </w:rPr>
        <w:t>и</w:t>
      </w:r>
      <w:r w:rsidRPr="00DE3456">
        <w:rPr>
          <w:rFonts w:ascii="Times New Roman" w:hAnsi="Times New Roman" w:cs="Times New Roman"/>
          <w:sz w:val="24"/>
          <w:szCs w:val="24"/>
        </w:rPr>
        <w:t>мают упражнения с заданиями разного уровня сложности: в одних требуется продемонстрировать знание правила; другие, более сложные, направлены на завершение незаконченных формулировок или определений, на выбор верн</w:t>
      </w:r>
      <w:r w:rsidRPr="00DE3456">
        <w:rPr>
          <w:rFonts w:ascii="Times New Roman" w:hAnsi="Times New Roman" w:cs="Times New Roman"/>
          <w:sz w:val="24"/>
          <w:szCs w:val="24"/>
        </w:rPr>
        <w:t>о</w:t>
      </w:r>
      <w:r w:rsidRPr="00DE3456">
        <w:rPr>
          <w:rFonts w:ascii="Times New Roman" w:hAnsi="Times New Roman" w:cs="Times New Roman"/>
          <w:sz w:val="24"/>
          <w:szCs w:val="24"/>
        </w:rPr>
        <w:t>го или, наоборот, ошибочного написания и т. п.</w:t>
      </w:r>
    </w:p>
    <w:p w:rsidR="009644F9" w:rsidRPr="00DE3456" w:rsidRDefault="009644F9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В целом, анализ методических аспектов использования ЭОР позволяет сделать следующие выводы. Электронные образовательные ресурсы позв</w:t>
      </w:r>
      <w:r w:rsidRPr="00DE3456">
        <w:rPr>
          <w:rFonts w:ascii="Times New Roman" w:hAnsi="Times New Roman" w:cs="Times New Roman"/>
          <w:sz w:val="24"/>
          <w:szCs w:val="24"/>
        </w:rPr>
        <w:t>о</w:t>
      </w:r>
      <w:r w:rsidRPr="00DE3456">
        <w:rPr>
          <w:rFonts w:ascii="Times New Roman" w:hAnsi="Times New Roman" w:cs="Times New Roman"/>
          <w:sz w:val="24"/>
          <w:szCs w:val="24"/>
        </w:rPr>
        <w:t>ляют разнообразить формы работы, деятельность учащихся, активизировать внимание, повышают творческий потенциал личности, мотивацию к успе</w:t>
      </w:r>
      <w:r w:rsidRPr="00DE3456">
        <w:rPr>
          <w:rFonts w:ascii="Times New Roman" w:hAnsi="Times New Roman" w:cs="Times New Roman"/>
          <w:sz w:val="24"/>
          <w:szCs w:val="24"/>
        </w:rPr>
        <w:t>ш</w:t>
      </w:r>
      <w:r w:rsidRPr="00DE3456">
        <w:rPr>
          <w:rFonts w:ascii="Times New Roman" w:hAnsi="Times New Roman" w:cs="Times New Roman"/>
          <w:sz w:val="24"/>
          <w:szCs w:val="24"/>
        </w:rPr>
        <w:t>ному изучению учебного материала. Построение схем, таблиц, презентаций позволяет учителю экономить время, более эстетично оформить материал. Использование кроссвордов, иллюстраций, рисунков, различных занимательных заданий, тестов, воспитывают интерес к уроку, делают его интере</w:t>
      </w:r>
      <w:r w:rsidRPr="00DE3456">
        <w:rPr>
          <w:rFonts w:ascii="Times New Roman" w:hAnsi="Times New Roman" w:cs="Times New Roman"/>
          <w:sz w:val="24"/>
          <w:szCs w:val="24"/>
        </w:rPr>
        <w:t>с</w:t>
      </w:r>
      <w:r w:rsidRPr="00DE3456">
        <w:rPr>
          <w:rFonts w:ascii="Times New Roman" w:hAnsi="Times New Roman" w:cs="Times New Roman"/>
          <w:sz w:val="24"/>
          <w:szCs w:val="24"/>
        </w:rPr>
        <w:t xml:space="preserve">нее, и, как следствие, способствуют формированию </w:t>
      </w:r>
      <w:proofErr w:type="gramStart"/>
      <w:r w:rsidRPr="00DE34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E3456">
        <w:rPr>
          <w:rFonts w:ascii="Times New Roman" w:hAnsi="Times New Roman" w:cs="Times New Roman"/>
          <w:sz w:val="24"/>
          <w:szCs w:val="24"/>
        </w:rPr>
        <w:t xml:space="preserve"> обучающихся ПУУД [7].</w:t>
      </w:r>
    </w:p>
    <w:p w:rsidR="009644F9" w:rsidRPr="00DE3456" w:rsidRDefault="009644F9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Применяя на уроках математики электронные образовательные ресу</w:t>
      </w:r>
      <w:r w:rsidRPr="00DE3456">
        <w:rPr>
          <w:rFonts w:ascii="Times New Roman" w:hAnsi="Times New Roman" w:cs="Times New Roman"/>
          <w:sz w:val="24"/>
          <w:szCs w:val="24"/>
        </w:rPr>
        <w:t>р</w:t>
      </w:r>
      <w:r w:rsidRPr="00DE3456">
        <w:rPr>
          <w:rFonts w:ascii="Times New Roman" w:hAnsi="Times New Roman" w:cs="Times New Roman"/>
          <w:sz w:val="24"/>
          <w:szCs w:val="24"/>
        </w:rPr>
        <w:t>сы с использованием информационно-компьютерных технологий, учитель может добиться активного включения каждого ученика в процесс усвоения учебного материала. При использовании интерактивных методов, которые ЭОР позволяют широко использовать, обучающийся становится полнопра</w:t>
      </w:r>
      <w:r w:rsidRPr="00DE3456">
        <w:rPr>
          <w:rFonts w:ascii="Times New Roman" w:hAnsi="Times New Roman" w:cs="Times New Roman"/>
          <w:sz w:val="24"/>
          <w:szCs w:val="24"/>
        </w:rPr>
        <w:t>в</w:t>
      </w:r>
      <w:r w:rsidRPr="00DE3456">
        <w:rPr>
          <w:rFonts w:ascii="Times New Roman" w:hAnsi="Times New Roman" w:cs="Times New Roman"/>
          <w:sz w:val="24"/>
          <w:szCs w:val="24"/>
        </w:rPr>
        <w:t>ным участником процесса обучения, его опыт служит основным источником формирования познавательных УУД. Учитель не даёт готовых знаний, но побуждает обучаемых к самостоятельному поиску. По сравнению с традиц</w:t>
      </w:r>
      <w:r w:rsidRPr="00DE3456">
        <w:rPr>
          <w:rFonts w:ascii="Times New Roman" w:hAnsi="Times New Roman" w:cs="Times New Roman"/>
          <w:sz w:val="24"/>
          <w:szCs w:val="24"/>
        </w:rPr>
        <w:t>и</w:t>
      </w:r>
      <w:r w:rsidRPr="00DE3456">
        <w:rPr>
          <w:rFonts w:ascii="Times New Roman" w:hAnsi="Times New Roman" w:cs="Times New Roman"/>
          <w:sz w:val="24"/>
          <w:szCs w:val="24"/>
        </w:rPr>
        <w:t>онными формами ведения занятий, в интерактивном обучении меняется взаимодействие учителя и учащегося: активность педагога уступает место активности обучающихся, а задачей педагога становится создание условий для их инициативы.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Решая </w:t>
      </w:r>
      <w:r w:rsidRPr="00DE34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третью задачу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проведена диагностика уровней развития познавательных универсальных учебных действий у обучающихся начальных классов проводилась на базе </w:t>
      </w:r>
      <w:r w:rsidRPr="00DE3456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«Гимназия №5 Ворошило</w:t>
      </w:r>
      <w:r w:rsidRPr="00DE3456">
        <w:rPr>
          <w:rFonts w:ascii="Times New Roman" w:hAnsi="Times New Roman" w:cs="Times New Roman"/>
          <w:sz w:val="24"/>
          <w:szCs w:val="24"/>
        </w:rPr>
        <w:t>в</w:t>
      </w:r>
      <w:r w:rsidRPr="00DE3456">
        <w:rPr>
          <w:rFonts w:ascii="Times New Roman" w:hAnsi="Times New Roman" w:cs="Times New Roman"/>
          <w:sz w:val="24"/>
          <w:szCs w:val="24"/>
        </w:rPr>
        <w:t>ского района Волгограда».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Опытно-экспериментальная работа включала три этапа: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констатирующий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котором проведена первоначальная диагностика уровня </w:t>
      </w:r>
      <w:proofErr w:type="spell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познавательных универсальных учебных действий у младших школьников;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формирующий, который включал работу по формированию познав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тельных универсальных учебных действий на уроках математики с использ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ванием электронных образовательных ресурсов;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контрольный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котором осуществлялась повторная диагностика уровня </w:t>
      </w:r>
      <w:proofErr w:type="spell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познавательных универсальных учебных действий у младших школьников.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шаг исследовательской работы – организация и проведение констатирующего эксперимента с целью определить у учащихся 3А класса исходный уровень </w:t>
      </w:r>
      <w:proofErr w:type="spell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познавательных универсальных уче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ных действий.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Методы, применяемые в ходе констатирующего эксперимента: 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беседа с преподавателем, 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тестирование, 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анализ выполненных работ.  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В беседе с учителем 3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выяснилось, что обучающиеся, в о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новном, активные и развитые дети. Большинство учится хорошо, проявляют интерес к учебному процессу и к отдельным предметам. По математике у обучающихся нет неудовлетворительных оценок, лишь пятеро имеют «удо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летворительно» в четвертных оценках.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 целью диагностики познавательных УУД у третьеклассников нами были выбраны задания, позволяющие диагностировать основные подвиды ПУУД.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Обучающимся был представлен те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ст с тр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емя заданиями из пособия «Как проектировать универсальные учебные действия в начальной школе» под редакцией А.Г. </w:t>
      </w:r>
      <w:proofErr w:type="spell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Асмолова</w:t>
      </w:r>
      <w:proofErr w:type="spell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Задача: «Сын собрал 15 грибов. Отец собрал на 25 грибов больше, чем сын. Мать собрала на 5 грибов меньше отца. Сколько всего грибов с</w:t>
      </w:r>
      <w:r w:rsidRPr="00DE34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DE34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брала вся семья??»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По данному тексту необходимо было выполнить задание: определить задание и составить условия решения задачи, тем самым диагностировались базовые логические действия.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DE34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Задание «Найди, какая схема соответствует задаче:</w:t>
      </w:r>
    </w:p>
    <w:p w:rsidR="00E06A2B" w:rsidRPr="00DE3456" w:rsidRDefault="00E06A2B" w:rsidP="006D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Миша сделал 6 флажков, а Коля — на 3 флажка больше. Сколько флажков сделал Коля?»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Схемы представлены на рисунке 2.1., тем самым у третьеклассников диагностировалась </w:t>
      </w:r>
      <w:proofErr w:type="spell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базовых исследов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тельских действий.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Задание: </w:t>
      </w:r>
      <w:r w:rsidRPr="00DE34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«Составь схему к задаче и реши ее: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Маша нашла 7 лисичек, а Таня — на 3 лисички больше. Сколько грибов нашла Таня?».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помощью этого задания диагностировалась </w:t>
      </w:r>
      <w:proofErr w:type="spell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 работы с информацией, а именно </w:t>
      </w:r>
      <w:r w:rsidRPr="00DE3456">
        <w:rPr>
          <w:rFonts w:ascii="Times New Roman" w:hAnsi="Times New Roman" w:cs="Times New Roman"/>
          <w:sz w:val="24"/>
          <w:szCs w:val="24"/>
        </w:rPr>
        <w:t>самостоятельно создавать схемы, табл</w:t>
      </w:r>
      <w:r w:rsidRPr="00DE3456">
        <w:rPr>
          <w:rFonts w:ascii="Times New Roman" w:hAnsi="Times New Roman" w:cs="Times New Roman"/>
          <w:sz w:val="24"/>
          <w:szCs w:val="24"/>
        </w:rPr>
        <w:t>и</w:t>
      </w:r>
      <w:r w:rsidRPr="00DE3456">
        <w:rPr>
          <w:rFonts w:ascii="Times New Roman" w:hAnsi="Times New Roman" w:cs="Times New Roman"/>
          <w:sz w:val="24"/>
          <w:szCs w:val="24"/>
        </w:rPr>
        <w:t>цы для представления информации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проводилось в 3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внеурочное время. Бланки заданий с тестом были выданы каждому ученику индивидуальные. Время выполн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ния задания не ограничивалось, и не учитывалось при подсчете результатов.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При обработке работ третьеклассников результаты заносились в прот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колы (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. приложение 1). В 3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выявлено: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- у 4 третьеклассников выявлен низкий уровень;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- у 11 детей – средний уровень;</w:t>
      </w:r>
    </w:p>
    <w:p w:rsidR="00E06A2B" w:rsidRPr="00DE3456" w:rsidRDefault="00E06A2B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- у 5 детей диагностирован высокий уровень.</w:t>
      </w:r>
    </w:p>
    <w:p w:rsidR="00E06A2B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06A2B"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езультаты 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тестирования представлены </w:t>
      </w:r>
      <w:r w:rsidR="00E06A2B"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в процентном соотношении в таблице 2.1. и на диаграмме (рис. 2.2).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Анализ протоколов позволяет сделать выводы, что познавательные УУД у младших школьников сформированы не на достаточно высоком уро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не.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Следующим этапов опытно-экспериментальной деятельности стал формирующий этап</w:t>
      </w:r>
      <w:r>
        <w:rPr>
          <w:rFonts w:ascii="Times New Roman" w:hAnsi="Times New Roman" w:cs="Times New Roman"/>
          <w:sz w:val="24"/>
          <w:szCs w:val="24"/>
        </w:rPr>
        <w:t xml:space="preserve">, на котором была реализована </w:t>
      </w:r>
      <w:r w:rsidRPr="006D11E1">
        <w:rPr>
          <w:rFonts w:ascii="Times New Roman" w:hAnsi="Times New Roman" w:cs="Times New Roman"/>
          <w:b/>
          <w:sz w:val="24"/>
          <w:szCs w:val="24"/>
        </w:rPr>
        <w:t>четвертая задача</w:t>
      </w:r>
      <w:r w:rsidRPr="00DE3456">
        <w:rPr>
          <w:rFonts w:ascii="Times New Roman" w:hAnsi="Times New Roman" w:cs="Times New Roman"/>
          <w:sz w:val="24"/>
          <w:szCs w:val="24"/>
        </w:rPr>
        <w:t>. Цель</w:t>
      </w:r>
      <w:r>
        <w:rPr>
          <w:rFonts w:ascii="Times New Roman" w:hAnsi="Times New Roman" w:cs="Times New Roman"/>
          <w:sz w:val="24"/>
          <w:szCs w:val="24"/>
        </w:rPr>
        <w:t xml:space="preserve"> данного этапа</w:t>
      </w:r>
      <w:r w:rsidRPr="00DE3456">
        <w:rPr>
          <w:rFonts w:ascii="Times New Roman" w:hAnsi="Times New Roman" w:cs="Times New Roman"/>
          <w:sz w:val="24"/>
          <w:szCs w:val="24"/>
        </w:rPr>
        <w:t xml:space="preserve">: проведение </w:t>
      </w:r>
      <w:r w:rsidRPr="00DE3456">
        <w:rPr>
          <w:rFonts w:ascii="Times New Roman" w:hAnsi="Times New Roman" w:cs="Times New Roman"/>
          <w:sz w:val="24"/>
          <w:szCs w:val="24"/>
        </w:rPr>
        <w:lastRenderedPageBreak/>
        <w:t xml:space="preserve">уроков математики с использованием электронных образовательных ресурсов с целью формирования 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у младших школьников познавательных универсальных учебных действий.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При разработке учебных ситуаций мы опирались на основные темы, к</w:t>
      </w:r>
      <w:r w:rsidR="006D11E1">
        <w:rPr>
          <w:rFonts w:ascii="Times New Roman" w:hAnsi="Times New Roman" w:cs="Times New Roman"/>
          <w:sz w:val="24"/>
          <w:szCs w:val="24"/>
        </w:rPr>
        <w:t>оторые в третьем классе изучают</w:t>
      </w:r>
      <w:r w:rsidRPr="00DE3456">
        <w:rPr>
          <w:rFonts w:ascii="Times New Roman" w:hAnsi="Times New Roman" w:cs="Times New Roman"/>
          <w:sz w:val="24"/>
          <w:szCs w:val="24"/>
        </w:rPr>
        <w:t>:  таблицы умножения и деления, площадь и единицы площади, доли, числа от 1 до 100, чи</w:t>
      </w:r>
      <w:r w:rsidRPr="00DE3456">
        <w:rPr>
          <w:rFonts w:ascii="Times New Roman" w:hAnsi="Times New Roman" w:cs="Times New Roman"/>
          <w:sz w:val="24"/>
          <w:szCs w:val="24"/>
        </w:rPr>
        <w:t>с</w:t>
      </w:r>
      <w:r w:rsidRPr="00DE3456">
        <w:rPr>
          <w:rFonts w:ascii="Times New Roman" w:hAnsi="Times New Roman" w:cs="Times New Roman"/>
          <w:sz w:val="24"/>
          <w:szCs w:val="24"/>
        </w:rPr>
        <w:t>ла от 1 до 1000.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С помощью электронных образовательных ресурсов подобрали трен</w:t>
      </w:r>
      <w:r w:rsidRPr="00DE3456">
        <w:rPr>
          <w:rFonts w:ascii="Times New Roman" w:hAnsi="Times New Roman" w:cs="Times New Roman"/>
          <w:sz w:val="24"/>
          <w:szCs w:val="24"/>
        </w:rPr>
        <w:t>и</w:t>
      </w:r>
      <w:r w:rsidRPr="00DE3456">
        <w:rPr>
          <w:rFonts w:ascii="Times New Roman" w:hAnsi="Times New Roman" w:cs="Times New Roman"/>
          <w:sz w:val="24"/>
          <w:szCs w:val="24"/>
        </w:rPr>
        <w:t>ровочные и тестовые задания по всем основным темам.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 xml:space="preserve">Например, тренировочные задания на умножение, деление, сложение и вычитание проводили с помощью </w:t>
      </w:r>
      <w:proofErr w:type="spellStart"/>
      <w:r w:rsidRPr="00DE345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E3456">
        <w:rPr>
          <w:rFonts w:ascii="Times New Roman" w:hAnsi="Times New Roman" w:cs="Times New Roman"/>
          <w:sz w:val="24"/>
          <w:szCs w:val="24"/>
        </w:rPr>
        <w:t xml:space="preserve"> или интерактивных тренажеров, например на сайте https://novatika.org/, где младшие школьники решали пр</w:t>
      </w:r>
      <w:r w:rsidRPr="00DE3456">
        <w:rPr>
          <w:rFonts w:ascii="Times New Roman" w:hAnsi="Times New Roman" w:cs="Times New Roman"/>
          <w:sz w:val="24"/>
          <w:szCs w:val="24"/>
        </w:rPr>
        <w:t>и</w:t>
      </w:r>
      <w:r w:rsidRPr="00DE3456">
        <w:rPr>
          <w:rFonts w:ascii="Times New Roman" w:hAnsi="Times New Roman" w:cs="Times New Roman"/>
          <w:sz w:val="24"/>
          <w:szCs w:val="24"/>
        </w:rPr>
        <w:t>меры, а правильный ответ сопровождался картинкой со сказочным героем, например, гномиком (</w:t>
      </w:r>
      <w:proofErr w:type="gramStart"/>
      <w:r w:rsidRPr="00DE345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DE3456">
        <w:rPr>
          <w:rFonts w:ascii="Times New Roman" w:hAnsi="Times New Roman" w:cs="Times New Roman"/>
          <w:sz w:val="24"/>
          <w:szCs w:val="24"/>
        </w:rPr>
        <w:t>. рис. 2.3), а неправильный – с предложением под</w:t>
      </w:r>
      <w:r w:rsidRPr="00DE3456">
        <w:rPr>
          <w:rFonts w:ascii="Times New Roman" w:hAnsi="Times New Roman" w:cs="Times New Roman"/>
          <w:sz w:val="24"/>
          <w:szCs w:val="24"/>
        </w:rPr>
        <w:t>у</w:t>
      </w:r>
      <w:r w:rsidRPr="00DE3456">
        <w:rPr>
          <w:rFonts w:ascii="Times New Roman" w:hAnsi="Times New Roman" w:cs="Times New Roman"/>
          <w:sz w:val="24"/>
          <w:szCs w:val="24"/>
        </w:rPr>
        <w:t>мать еще.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5381" cy="1504606"/>
            <wp:effectExtent l="19050" t="0" r="441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752" cy="152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Третьеклассники работали с тренажером фронтально, выходили к и</w:t>
      </w:r>
      <w:r w:rsidRPr="00DE3456">
        <w:rPr>
          <w:rFonts w:ascii="Times New Roman" w:hAnsi="Times New Roman" w:cs="Times New Roman"/>
          <w:sz w:val="24"/>
          <w:szCs w:val="24"/>
        </w:rPr>
        <w:t>н</w:t>
      </w:r>
      <w:r w:rsidRPr="00DE3456">
        <w:rPr>
          <w:rFonts w:ascii="Times New Roman" w:hAnsi="Times New Roman" w:cs="Times New Roman"/>
          <w:sz w:val="24"/>
          <w:szCs w:val="24"/>
        </w:rPr>
        <w:t>терактивной доске и по очереди решали примеры, весьма эмоционально ре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гировали на гнома, старались лучше справиться с заданием, чтобы появился сказочный герой.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Электронные образовательные ресурсы были задействованы и в пр</w:t>
      </w:r>
      <w:r w:rsidRPr="00DE3456">
        <w:rPr>
          <w:rFonts w:ascii="Times New Roman" w:hAnsi="Times New Roman" w:cs="Times New Roman"/>
          <w:sz w:val="24"/>
          <w:szCs w:val="24"/>
        </w:rPr>
        <w:t>о</w:t>
      </w:r>
      <w:r w:rsidRPr="00DE3456">
        <w:rPr>
          <w:rFonts w:ascii="Times New Roman" w:hAnsi="Times New Roman" w:cs="Times New Roman"/>
          <w:sz w:val="24"/>
          <w:szCs w:val="24"/>
        </w:rPr>
        <w:t>цессе решения арифметических, а также текстовых задач. Младшим школ</w:t>
      </w:r>
      <w:r w:rsidRPr="00DE3456">
        <w:rPr>
          <w:rFonts w:ascii="Times New Roman" w:hAnsi="Times New Roman" w:cs="Times New Roman"/>
          <w:sz w:val="24"/>
          <w:szCs w:val="24"/>
        </w:rPr>
        <w:t>ь</w:t>
      </w:r>
      <w:r w:rsidRPr="00DE3456">
        <w:rPr>
          <w:rFonts w:ascii="Times New Roman" w:hAnsi="Times New Roman" w:cs="Times New Roman"/>
          <w:sz w:val="24"/>
          <w:szCs w:val="24"/>
        </w:rPr>
        <w:t>никам предлагали задачи, где ученики должны решить задачу и внести ве</w:t>
      </w:r>
      <w:r w:rsidRPr="00DE3456">
        <w:rPr>
          <w:rFonts w:ascii="Times New Roman" w:hAnsi="Times New Roman" w:cs="Times New Roman"/>
          <w:sz w:val="24"/>
          <w:szCs w:val="24"/>
        </w:rPr>
        <w:t>р</w:t>
      </w:r>
      <w:r w:rsidRPr="00DE3456">
        <w:rPr>
          <w:rFonts w:ascii="Times New Roman" w:hAnsi="Times New Roman" w:cs="Times New Roman"/>
          <w:sz w:val="24"/>
          <w:szCs w:val="24"/>
        </w:rPr>
        <w:t>ный ответ, либо варианта решения, когда младший школьник выбирает верный ответ из нескольких вариантов. Также с интересом третьеклассники р</w:t>
      </w:r>
      <w:r w:rsidRPr="00DE3456">
        <w:rPr>
          <w:rFonts w:ascii="Times New Roman" w:hAnsi="Times New Roman" w:cs="Times New Roman"/>
          <w:sz w:val="24"/>
          <w:szCs w:val="24"/>
        </w:rPr>
        <w:t>е</w:t>
      </w:r>
      <w:r w:rsidRPr="00DE3456">
        <w:rPr>
          <w:rFonts w:ascii="Times New Roman" w:hAnsi="Times New Roman" w:cs="Times New Roman"/>
          <w:sz w:val="24"/>
          <w:szCs w:val="24"/>
        </w:rPr>
        <w:t>шали задачи, в которых не искали верный ответ, а подбирали к графическому обозначению решения нужный вариант задачи, как в тренажере на сайте https://iqsha.ru/ (см. рис. 2.4).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8475" cy="204458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671" cy="205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Решение задач и заданий на данном сайте сопровождается flash-анимацией, а также детские голоса озвучивают, как справился ученик с зад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нием и хвалят его, в случае успешного прохождения испытания. Это было воспринято учениками с интересом и энтузиазмом, они отвечали на слова анимации, смеялись.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Темы, связанные со сложением/вычитанием, а также неравенствами нами были представлены с помощью ЭОР как сортировка по двум колонкам, например, пользовались расположенной на платформе https://learningapps.org/ вариант на сортировку примеров на верные и неверные неравенства (</w:t>
      </w:r>
      <w:proofErr w:type="gramStart"/>
      <w:r w:rsidRPr="00DE345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DE3456">
        <w:rPr>
          <w:rFonts w:ascii="Times New Roman" w:hAnsi="Times New Roman" w:cs="Times New Roman"/>
          <w:sz w:val="24"/>
          <w:szCs w:val="24"/>
        </w:rPr>
        <w:t>. рис.2.5).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33650" cy="164963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96" cy="16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Задания с использованием ЭОР включали в различные уроки как с</w:t>
      </w:r>
      <w:r w:rsidRPr="00DE3456">
        <w:rPr>
          <w:rFonts w:ascii="Times New Roman" w:hAnsi="Times New Roman" w:cs="Times New Roman"/>
          <w:sz w:val="24"/>
          <w:szCs w:val="24"/>
        </w:rPr>
        <w:t>о</w:t>
      </w:r>
      <w:r w:rsidRPr="00DE3456">
        <w:rPr>
          <w:rFonts w:ascii="Times New Roman" w:hAnsi="Times New Roman" w:cs="Times New Roman"/>
          <w:sz w:val="24"/>
          <w:szCs w:val="24"/>
        </w:rPr>
        <w:t>ставную часть на этапе актуализации знаний, на этапе получения нового зн</w:t>
      </w:r>
      <w:r w:rsidRPr="00DE3456">
        <w:rPr>
          <w:rFonts w:ascii="Times New Roman" w:hAnsi="Times New Roman" w:cs="Times New Roman"/>
          <w:sz w:val="24"/>
          <w:szCs w:val="24"/>
        </w:rPr>
        <w:t>а</w:t>
      </w:r>
      <w:r w:rsidRPr="00DE3456">
        <w:rPr>
          <w:rFonts w:ascii="Times New Roman" w:hAnsi="Times New Roman" w:cs="Times New Roman"/>
          <w:sz w:val="24"/>
          <w:szCs w:val="24"/>
        </w:rPr>
        <w:t>ния или этапе закрепления изученного. Некоторым ученикам давали дифф</w:t>
      </w:r>
      <w:r w:rsidRPr="00DE3456">
        <w:rPr>
          <w:rFonts w:ascii="Times New Roman" w:hAnsi="Times New Roman" w:cs="Times New Roman"/>
          <w:sz w:val="24"/>
          <w:szCs w:val="24"/>
        </w:rPr>
        <w:t>е</w:t>
      </w:r>
      <w:r w:rsidRPr="00DE3456">
        <w:rPr>
          <w:rFonts w:ascii="Times New Roman" w:hAnsi="Times New Roman" w:cs="Times New Roman"/>
          <w:sz w:val="24"/>
          <w:szCs w:val="24"/>
        </w:rPr>
        <w:t xml:space="preserve">ренцированные домашние задания с использованием </w:t>
      </w:r>
      <w:proofErr w:type="spellStart"/>
      <w:r w:rsidRPr="00DE3456">
        <w:rPr>
          <w:rFonts w:ascii="Times New Roman" w:hAnsi="Times New Roman" w:cs="Times New Roman"/>
          <w:sz w:val="24"/>
          <w:szCs w:val="24"/>
        </w:rPr>
        <w:t>онлайн-тренажеров</w:t>
      </w:r>
      <w:proofErr w:type="spellEnd"/>
      <w:r w:rsidRPr="00DE3456">
        <w:rPr>
          <w:rFonts w:ascii="Times New Roman" w:hAnsi="Times New Roman" w:cs="Times New Roman"/>
          <w:sz w:val="24"/>
          <w:szCs w:val="24"/>
        </w:rPr>
        <w:t>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В сети интернет можно найти множество готовых различных заданий, задач и тестов по математике для младших школьников, разработанных как образовательными институтами, так и практикующими педагогами. Многие из них снабжены интерактивными элементами, звуком, анимацией. Подобные материалы можно разрабатывать и самостоятельно, при наличии необходимого компьютерного оборудования, при этом можно предлагать мла</w:t>
      </w:r>
      <w:r w:rsidRPr="00DE3456">
        <w:rPr>
          <w:rFonts w:ascii="Times New Roman" w:hAnsi="Times New Roman" w:cs="Times New Roman"/>
          <w:sz w:val="24"/>
          <w:szCs w:val="24"/>
        </w:rPr>
        <w:t>д</w:t>
      </w:r>
      <w:r w:rsidRPr="00DE3456">
        <w:rPr>
          <w:rFonts w:ascii="Times New Roman" w:hAnsi="Times New Roman" w:cs="Times New Roman"/>
          <w:sz w:val="24"/>
          <w:szCs w:val="24"/>
        </w:rPr>
        <w:t>шим школьникам задания непосредственно по теме, в которой есть затрудн</w:t>
      </w:r>
      <w:r w:rsidRPr="00DE3456">
        <w:rPr>
          <w:rFonts w:ascii="Times New Roman" w:hAnsi="Times New Roman" w:cs="Times New Roman"/>
          <w:sz w:val="24"/>
          <w:szCs w:val="24"/>
        </w:rPr>
        <w:t>е</w:t>
      </w:r>
      <w:r w:rsidRPr="00DE3456">
        <w:rPr>
          <w:rFonts w:ascii="Times New Roman" w:hAnsi="Times New Roman" w:cs="Times New Roman"/>
          <w:sz w:val="24"/>
          <w:szCs w:val="24"/>
        </w:rPr>
        <w:t>ния или необходимость закрепления знаний, навыков и умений.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56">
        <w:rPr>
          <w:rFonts w:ascii="Times New Roman" w:hAnsi="Times New Roman" w:cs="Times New Roman"/>
          <w:sz w:val="24"/>
          <w:szCs w:val="24"/>
        </w:rPr>
        <w:t>В завершении формирующего этапа мы провели контрольную диагн</w:t>
      </w:r>
      <w:r w:rsidRPr="00DE3456">
        <w:rPr>
          <w:rFonts w:ascii="Times New Roman" w:hAnsi="Times New Roman" w:cs="Times New Roman"/>
          <w:sz w:val="24"/>
          <w:szCs w:val="24"/>
        </w:rPr>
        <w:t>о</w:t>
      </w:r>
      <w:r w:rsidRPr="00DE3456">
        <w:rPr>
          <w:rFonts w:ascii="Times New Roman" w:hAnsi="Times New Roman" w:cs="Times New Roman"/>
          <w:sz w:val="24"/>
          <w:szCs w:val="24"/>
        </w:rPr>
        <w:t>стику.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При обработке работ третьеклассников результаты заносились в прот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колы (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. приложение 2). В 3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выявлено: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- у 1 третьеклассника выявлен низкий уровень;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- у 10 детей – средний уровень;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- у 9 детей диагностирован высокий уровень.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Представим результаты тестирования в процентном соотношении на диаграмме (рис. 2.7).</w:t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Сравним на диаграмме уровень </w:t>
      </w:r>
      <w:proofErr w:type="spell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ПУУД на констат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рующем и контрольном этапах (</w:t>
      </w: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. рис. 2.8).</w:t>
      </w:r>
    </w:p>
    <w:p w:rsidR="00DE3456" w:rsidRDefault="00DE3456" w:rsidP="00DE3456">
      <w:pPr>
        <w:rPr>
          <w:color w:val="000000" w:themeColor="text1"/>
        </w:rPr>
      </w:pPr>
    </w:p>
    <w:p w:rsidR="00DE3456" w:rsidRDefault="00DE3456" w:rsidP="00DE3456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495675" cy="1685925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видно из диаграммы, после проведенной работы существенно уменьшилось количество третьеклассников с низким уровнем </w:t>
      </w:r>
      <w:proofErr w:type="spellStart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>ности</w:t>
      </w:r>
      <w:proofErr w:type="spellEnd"/>
      <w:r w:rsidRPr="00DE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познавательных УУД, а количество младших школьников с высоким уровнем, напротив, заметно увеличилось – с 25% до 45%. Следовательно, можно сделать вывод, что применение на уроках математики электронных образовательных ресурсов благоприятно влияет на развитие познавательных универсальных учебных действий у младших школьников.</w:t>
      </w:r>
      <w:proofErr w:type="gramEnd"/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456" w:rsidRPr="00DE3456" w:rsidRDefault="00DE3456" w:rsidP="00DE3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56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Спасибо за внимание! </w:t>
      </w:r>
    </w:p>
    <w:p w:rsidR="00000000" w:rsidRDefault="0025749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B75"/>
    <w:rsid w:val="00255B56"/>
    <w:rsid w:val="004E1B75"/>
    <w:rsid w:val="006D11E1"/>
    <w:rsid w:val="009106C5"/>
    <w:rsid w:val="009644F9"/>
    <w:rsid w:val="00DE3456"/>
    <w:rsid w:val="00E0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E3456"/>
    <w:pPr>
      <w:keepNext/>
      <w:keepLines/>
      <w:suppressAutoHyphens/>
      <w:spacing w:after="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B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A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3456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55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A9-4359-85D8-6F6DCA5329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A9-4359-85D8-6F6DCA5329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A9-4359-85D8-6F6DCA532962}"/>
            </c:ext>
          </c:extLst>
        </c:ser>
        <c:gapWidth val="182"/>
        <c:axId val="64525824"/>
        <c:axId val="64527360"/>
      </c:barChart>
      <c:catAx>
        <c:axId val="645258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527360"/>
        <c:crosses val="autoZero"/>
        <c:auto val="1"/>
        <c:lblAlgn val="ctr"/>
        <c:lblOffset val="100"/>
      </c:catAx>
      <c:valAx>
        <c:axId val="645273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52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2022-01-30T21:05:00Z</cp:lastPrinted>
  <dcterms:created xsi:type="dcterms:W3CDTF">2022-01-30T19:56:00Z</dcterms:created>
  <dcterms:modified xsi:type="dcterms:W3CDTF">2022-01-30T22:09:00Z</dcterms:modified>
</cp:coreProperties>
</file>