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Такие разные животные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(познавательно–творческий проект для детей 5–7 лет)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Согласно исследованиям отечественных психологов дети старшего дошкольного возраста способны рассуждать и давать адекватные причинные объяснения, если анализируемые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отношения не выходят за пределы их опыта. В возрасте 5–7 лет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у детей продолжают совершенствоваться обобщения, что является основой словесно-логического мышления. Именно в старшей группе дети знакомятся с многообразием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растительного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животного мира Земли, учатся устанавливать взаимосвязи 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взаимозависимости между объектами живой и неживой природы и хозяйственной деятельностью человека. Поэтому в современных условиях образовательную работу по формированию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основ экологической культуры и экологического сознания следует начинать со старшего дошкольного возраста.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Цель проекта: расширение представлений детей о многообразии животного мира, о существовании причинно-следственных связей между объектами и явлениями живой и неживой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природы, о способах правильного взаимодействия с животными.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1. Познакомить детей с животными разных природных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зон и особенностями их обитания.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2. Продолжить формировать у детей способности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к установлению связей и зависимостей в природе, учить отражать в речи свои наблюдения с помощью развернутых ответов,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рассуждений, умозаключений.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3. Повысить познавательный интерес и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мотивацию к занятиям и исследовательской деятельности в семьях воспитанников.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101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Критерии оценки эффективности проекта: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1. Высокий уровень познавательной активности детей 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родителей в процессе работы над проектом.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2. Отражение тематики проекта в разных видах детской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6E203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энциклопедии «Такие разные животные»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(1 том – «Животные средней полосы», 2 том – «Животные Севера», 3 том – «Животные жарких стран»).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4. Презентация достижений по реализации проекта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Фестивале открытий «От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– к сложному» для педагогов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ДОУ г. Москвы. («Лучшие образовательные практики» – «Московское образование: от младенчества до школы»).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Направления деятельности и интеграция областей: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Направления деятельности: познавательно-речевое, социально-личностное, художественно-эстетическое развитие.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В процессе реализации проекта осуществлена интеграция следующих образовательных областей: «Познание», «Социализация», «Коммуникация», «Чтение художественной литературы», «Художественное творчество», «Музыка».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Интеграция образовательных областей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в процессе реализации проекта «Такие разные животные»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Задачи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проекта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Формы образовательной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lastRenderedPageBreak/>
        <w:t xml:space="preserve">Интеграция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областей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Познакомить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детей с животными разных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природных зон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и особенностями их обитания.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Непосредственнообразовательная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деятельность,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Чтение энциклопедической и художественной литературы,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Экскурсионная программа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в Московском зоопарке 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зоологическом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музее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МГУ,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Игровая деятельность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(дидактические,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сюжетноролевые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и подвижные игры),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Создание ритмопластических этюдов.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Коммуникация,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Познание,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Чтение художественной литературы,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Социализация,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Художественное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творчество,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Физическое развитие,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Музыка.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102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Продолжать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формировать у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детей способности к установлению связей и зависимостей в природе, учить отражать в речи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свои наблюдения с помощью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развернутых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ответов, рассуждений, умозаключений.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Наблюдение в природе,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 Целевые прогулки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экологическим маршрутам,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Поисковопознавательная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деятельность,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Беседы,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Проектная деятельность,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Создание моделей и макетов.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Познание,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Коммуникация,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Безопасность,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Здоровье.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Поддерживать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познавательный интерес 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познавательную мотивацию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к занятиям исследовательской деятельностью в семьях воспитанников.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Творческие домашние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задания,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Семейные мини-проекты,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Создание и использование в образовательной работе ДОУ энциклопедии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«Такие разные животные»,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Интегрированные досуги,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Маршруты выходного дня,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lastRenderedPageBreak/>
        <w:t> Презентация достижений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по реализации проекта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фестивале открытий «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простого – к сложному».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Здоровье,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Социализация,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Познание,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Коммуникация,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Художественное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творчество,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Музыка,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Ресурсное обеспечение проекта: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Вовлечение семей воспитанников в реализацию проекта (поисково-познавательные и творческие семейные домашние задания, промежуточная и итоговая презентация результатов работы по тематике проекта, участие родителей в экскурсионной программе «Клуба путешественников»).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 Использование ресурсов социокультурной среды города (посещение музеев естественнонаучной направленности,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целевые прогулки в зеленые зоны Москвы, цикл занятий в Российской Государственной детской библиотеке по теме проекта).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103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Презентация проекта: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 Промежуточная презентация работы над проектом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Фестивале открытий «От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– к сложному».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Итоговая презентация проекта в форме интегрированного досуга «В мире животных».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Участники реализации проекта «Такие разные животные»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Дети Родители Педагоги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24 воспитанника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группы (100%)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18 семей воспитанников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(75%)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7 педагогов (воспитатель группы, педагоги дополнительного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образования, музыкальный руководитель, методическая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служба)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Трансляция опыта работы по использованию в работе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 дошкольниками технологии проектной деятельности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Дата Мероприятие Уровень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Ноябрь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2011 года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Выход сборника практических материалов «Планирование работы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образовательной области «Познание». Проектно-исследовательская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деятельность: игровое экспериментирование, проекты для детей 2–7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лет» (М., «Восхождение»).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Городской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15 февраля 2012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года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Фестиваль открытий «От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к сложному» (презентация работы по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детско-родительских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проектов).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lastRenderedPageBreak/>
        <w:t>Городской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24 апреля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2012 года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Игра-презентация «Путешествие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Московским музеям» в рамках реализации проекта «Дети в музее».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Окружной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2011–2012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учебный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год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Телеканал «Москва-24»: реализация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новых образовательных проектов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развития ребенка.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Городской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2011–2012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учебный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год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Обмен опытом с коллегами из Ханты-Мансийского АО и Забайкальского края.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Региональный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104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Практическая значимость: приобретенные знания,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наблюдения и исследовательская деятельность стали основой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формирования правильного взаимодействия детей и взрослых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 природой; дети и педагоги получили возможность применять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полученные знания и продукт проекта (Энциклопедия «Такие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разные животные») в разных видах детской деятельности.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Выводы: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1. У детей систематизировались знания о многообразии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животного мира, расширились представления о местах обитания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животных в разных природных зонах Земли.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2. Активизировалась объяснительная речь детей посредством заданий, требующих развернутых ответов, рассуждений, умозаключений.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3. Повысился уровень познавательной мотивации у детей и уровень мотивационной готовности родителей к участию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в проектной деятельности и в образовательном процессе ДОУ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в целом (75 % семей воспитанников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в образовательный процесс).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Перспективы дальнейшей работы: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Цель: эффективное использование в </w:t>
      </w:r>
      <w:proofErr w:type="gramStart"/>
      <w:r w:rsidRPr="006E203B">
        <w:rPr>
          <w:rFonts w:ascii="Times New Roman" w:hAnsi="Times New Roman" w:cs="Times New Roman"/>
          <w:sz w:val="24"/>
          <w:szCs w:val="24"/>
        </w:rPr>
        <w:t>познавательном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6E203B">
        <w:rPr>
          <w:rFonts w:ascii="Times New Roman" w:hAnsi="Times New Roman" w:cs="Times New Roman"/>
          <w:sz w:val="24"/>
          <w:szCs w:val="24"/>
        </w:rPr>
        <w:t xml:space="preserve"> старших дошкольников научных достижений и открытий человечества.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Задачи: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1. Использование научного и культурного потенциала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города Москвы в познавательном развитии дошкольников: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 Дарвиновский музей (Игровая экскурсия «В гостях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у колобка»).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Биологический музей имени К.А. Тимирязева. (Занятия в комнате открытий).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 Парки Москвы и экологические маршруты.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2. Привлечение родителей воспитанников к расширению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03B">
        <w:rPr>
          <w:rFonts w:ascii="Times New Roman" w:hAnsi="Times New Roman" w:cs="Times New Roman"/>
          <w:sz w:val="24"/>
          <w:szCs w:val="24"/>
        </w:rPr>
        <w:t>социально-познавательного пространства (посещение</w:t>
      </w:r>
      <w:proofErr w:type="gramEnd"/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парков, экологических маршрутов и музеев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естесственно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>-научной направленности, предлагающих семейные программы).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105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Г.М. Познавательное развитие детей 5–7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lastRenderedPageBreak/>
        <w:t>лет. – М.: ТЦ «Сфера», 2007.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Л.А. Проблемы формирования познавательных способностей в дошкольном возрасте. – М., 1980.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А.Н. Проектная деятельность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дошкольников. – М.: Мозаика-синтез, 2008.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О.Б. Ребенок и окружающий мир. – М.: МОЗАИКА-СИНТЕЗ, 2005.</w:t>
      </w:r>
    </w:p>
    <w:p w:rsidR="006E203B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E203B">
        <w:rPr>
          <w:rFonts w:ascii="Times New Roman" w:hAnsi="Times New Roman" w:cs="Times New Roman"/>
          <w:sz w:val="24"/>
          <w:szCs w:val="24"/>
        </w:rPr>
        <w:t>Поддъяков</w:t>
      </w:r>
      <w:proofErr w:type="spellEnd"/>
      <w:r w:rsidRPr="006E203B">
        <w:rPr>
          <w:rFonts w:ascii="Times New Roman" w:hAnsi="Times New Roman" w:cs="Times New Roman"/>
          <w:sz w:val="24"/>
          <w:szCs w:val="24"/>
        </w:rPr>
        <w:t xml:space="preserve"> Н.Н. и др. Умственное воспитание детей</w:t>
      </w:r>
    </w:p>
    <w:p w:rsidR="006C2E4C" w:rsidRPr="006E203B" w:rsidRDefault="006E203B" w:rsidP="006E2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>дошкольного возраста. – М.: Просвещение, 1988.</w:t>
      </w:r>
      <w:bookmarkStart w:id="0" w:name="_GoBack"/>
      <w:bookmarkEnd w:id="0"/>
    </w:p>
    <w:sectPr w:rsidR="006C2E4C" w:rsidRPr="006E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EC"/>
    <w:rsid w:val="006C2E4C"/>
    <w:rsid w:val="006D3EEC"/>
    <w:rsid w:val="006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6700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2022-08-15T07:57:00Z</dcterms:created>
  <dcterms:modified xsi:type="dcterms:W3CDTF">2022-08-15T07:59:00Z</dcterms:modified>
</cp:coreProperties>
</file>