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ПОЛОЖЕНИЕ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 проведении регионального конкурса детско-родительских проектов 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«Мы этой земли продолжение»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1"/>
        </w:numPr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Общие положения</w:t>
      </w:r>
      <w:r/>
    </w:p>
    <w:p>
      <w:pPr>
        <w:ind w:left="17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1.1. Настоящее Положение определяет порядок организацию и проведение конкурса детско-родительских проектов «Мы этой земли продолжение» (далее – Конкурс), условия участия и требования к конкурсным работам, порядок определения победителей.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1.2.</w:t>
        <w:tab/>
        <w:t xml:space="preserve">Организатор Конкурса: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Управление образования и науки Тамбовской области;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Региональный ресурсно-методический центр дошкольного образования;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ТОГАДОУ «Центр развития ребенка – детский сад «Возрождение».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 </w:t>
      </w:r>
      <w:r/>
    </w:p>
    <w:p>
      <w:pPr>
        <w:numPr>
          <w:ilvl w:val="0"/>
          <w:numId w:val="1"/>
        </w:numPr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Цели и задачи Конкурса</w:t>
      </w:r>
      <w:r/>
    </w:p>
    <w:p>
      <w:pPr>
        <w:ind w:left="125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 </w:t>
        <w:tab/>
        <w:t xml:space="preserve">2.1. Цель Конкурса: формирование гражданско-патриотического сознания, любви к малой родине, уважения культурного и исторического наследия Тамбовской области; 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2.2. Задачи Конкурса: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содействие развитию у дошкольников познавательных интересов, кругозора, поисковой деятельности;</w:t>
      </w:r>
      <w:r/>
    </w:p>
    <w:p>
      <w:pPr>
        <w:ind w:left="179" w:right="0" w:firstLine="529"/>
        <w:spacing w:after="150" w:before="45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воспитание любви к родному краю, навыков бережного и ответственного отношения к природе, повышение культурного уровня;</w:t>
      </w:r>
      <w:r/>
    </w:p>
    <w:p>
      <w:pPr>
        <w:ind w:left="179" w:right="0" w:firstLine="529"/>
        <w:spacing w:after="150" w:before="45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популяризация семейных ценностей и традиций;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приобретение практических навыков работы с техническим оборудованием, навыков работы в программах для создания видеороликов, семейного видео-творчества.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numPr>
          <w:ilvl w:val="0"/>
          <w:numId w:val="1"/>
        </w:numPr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Участники Конкурса</w:t>
      </w:r>
      <w:r/>
    </w:p>
    <w:p>
      <w:pPr>
        <w:ind w:left="125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708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3.1.</w:t>
      </w:r>
      <w:r>
        <w:rPr>
          <w:rFonts w:ascii="Arial" w:hAnsi="Arial" w:cs="Arial" w:eastAsia="Arial"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 Конкурсе принимают участие родители (законные представители), педагоги и дети в возрасте от 3 до 7 лет.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3.2. Участники могут представить для Конкурса одну работу.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3.3. Для участия в конкурсе необходимо заполнить заявку и прислать видеоматериалы.</w:t>
      </w:r>
      <w:r/>
    </w:p>
    <w:p>
      <w:pPr>
        <w:ind w:left="125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numPr>
          <w:ilvl w:val="0"/>
          <w:numId w:val="1"/>
        </w:numPr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Требования к работам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4.1. К участию в Конкурсе допускаются видеоматериалы, имеющие краеведческую направленность, соответствующие теме конкурса «Мы этой земли продолжение» по следующим направлениям: 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природное богатство Тамбовского края; 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культурные достопримечательности области; 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люди, прославившие Тамбовщину; 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обряды, традиции, элементы бытовой культуры Тамбовщины;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профессиональные семейные династии.</w:t>
      </w:r>
      <w:r/>
    </w:p>
    <w:p>
      <w:pPr>
        <w:ind w:left="179" w:right="0" w:firstLine="52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4.2. Для участия в Конкурсе Участниками представляется пакет документов в соответствии с перечнем:</w:t>
      </w:r>
      <w:r/>
    </w:p>
    <w:p>
      <w:pPr>
        <w:ind w:left="89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заполненная информационная карта Участника Конкурса (Приложение 1);</w:t>
      </w:r>
      <w:r/>
    </w:p>
    <w:p>
      <w:pPr>
        <w:ind w:left="89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заполненный отсканированный файл «Согласие на обработку персональных данных» (Приложение 2);</w:t>
      </w:r>
      <w:r/>
    </w:p>
    <w:p>
      <w:pPr>
        <w:ind w:left="89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Конкурсные материалы (видеоролик – файл с указанием названия видеоролика);</w:t>
      </w:r>
      <w:r/>
    </w:p>
    <w:p>
      <w:pPr>
        <w:ind w:left="899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краткое описание замысла и сюжета видеоролика - не более 1 листа A4 с пробелами.</w:t>
      </w:r>
      <w:r/>
    </w:p>
    <w:p>
      <w:pPr>
        <w:ind w:left="0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6.3. Приём заявлений на участие в Конкурсе, документов и материалов осуществляется в срок с 24 марта по 15 мая 2022 года включительно. </w:t>
      </w:r>
      <w:r/>
    </w:p>
    <w:p>
      <w:pPr>
        <w:ind w:left="179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Материалы, представленные позже указанного срока, не рассматриваются и возрасту не подлежат. </w:t>
      </w:r>
      <w:r/>
    </w:p>
    <w:p>
      <w:pPr>
        <w:ind w:left="179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Почтовый адрес - 392002, г. Тамбов, Первомайская площадь, дом 15.</w:t>
      </w:r>
      <w:r/>
    </w:p>
    <w:p>
      <w:pPr>
        <w:ind w:left="179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Телефон - 8 (4752) 55-92-05 </w:t>
      </w:r>
      <w:r/>
    </w:p>
    <w:p>
      <w:pPr>
        <w:ind w:left="179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Электронная почта -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hyperlink r:id="rId10" w:tooltip="mailto:regrescentrdotambov@mail.ru" w:history="1">
        <w:r>
          <w:rPr>
            <w:rStyle w:val="172"/>
            <w:rFonts w:ascii="Times New Roman" w:hAnsi="Times New Roman" w:cs="Times New Roman" w:eastAsia="Times New Roman"/>
            <w:color w:val="0563C1"/>
            <w:sz w:val="28"/>
            <w:u w:val="none"/>
          </w:rPr>
          <w:t xml:space="preserve">regrescentrdotambov@mail.ru</w:t>
        </w:r>
      </w:hyperlink>
      <w:r/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6.4. Требования к оформлению и содержанию видеороликов: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формат DVD, MP4, AVI; 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продолжительность не более 3 минут;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качество видео не ниже 720p;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ориентация кадра – горизонтальная;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хорошее освещение;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при выборе художественных или документальных форм и образов материалы не должны носить враждебный или оскорбляющий характер по религиозным, гендерным, социальным, профессиональным и другим различиям;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 декабря 2010 г. № 436-ФЗ «О защите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детей от информации, причиняющей вред их здоровью и развитию», Федерального закона от 13 марта 2006 г. № 38-ФЗ «О рекламе».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numPr>
          <w:ilvl w:val="0"/>
          <w:numId w:val="1"/>
        </w:numPr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Сроки проведения Конкурса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5.1 Видеоролики принимаются с 24 марта по 15 мая 2022 года по электронной почте: </w:t>
      </w:r>
      <w:hyperlink r:id="rId11" w:tooltip="mailto:regrescentrdotambov@mail.ru" w:history="1">
        <w:r>
          <w:rPr>
            <w:rStyle w:val="172"/>
            <w:rFonts w:ascii="Times New Roman" w:hAnsi="Times New Roman" w:cs="Times New Roman" w:eastAsia="Times New Roman"/>
            <w:color w:val="0563C1"/>
            <w:sz w:val="28"/>
            <w:u w:val="none"/>
          </w:rPr>
          <w:t xml:space="preserve">regrescentrdotambov@mail.ru</w:t>
        </w:r>
      </w:hyperlink>
      <w:r>
        <w:rPr>
          <w:rFonts w:ascii="Times New Roman" w:hAnsi="Times New Roman" w:cs="Times New Roman" w:eastAsia="Times New Roman"/>
          <w:color w:val="0563C1"/>
          <w:sz w:val="28"/>
          <w:u w:val="single"/>
        </w:rPr>
        <w:t xml:space="preserve">;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5.2. Объявление победителей состоится в конце мая 2022 года. О времени, месте и форме объявления итогов конкурса участники будут уведомлены дополнительно.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firstLine="51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6. Определение и награждение победителей</w:t>
      </w:r>
      <w:r/>
    </w:p>
    <w:p>
      <w:pPr>
        <w:ind w:left="0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6.1 По итогам конкурса будут определены победители и призеры, занявшие I, II, III места. Победители и призеры получат дипломы I, II, III степени. </w:t>
      </w:r>
      <w:r/>
    </w:p>
    <w:p>
      <w:pPr>
        <w:ind w:left="0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6.2 Участники, не занявшие призовые места, будут поощрены сертификатами за участие в конкурсе.</w:t>
      </w:r>
      <w:r/>
    </w:p>
    <w:p>
      <w:pPr>
        <w:ind w:left="0" w:right="0" w:firstLine="708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8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7. Жюри Конкурса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7.1. Порядок работы Экспертного Жюри: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  осуществляет экспертизу конкурсных работ согласно критериям, указанным в пункте 7.2. Положения о Конкурсе;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составляет рейтинг конкурсных работ, набравших наибольшее количество баллов;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проводит заседание с возможностью дистанционного участия с целью определения финального рейтинга конкурсных работ на основе листов экспертного заключения (Приложение 3).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7.2. </w:t>
      </w:r>
      <w:r>
        <w:rPr>
          <w:rFonts w:ascii="Calibri" w:hAnsi="Calibri" w:cs="Calibri" w:eastAsia="Calibri"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Критерии и параметры оценки конкурсных работ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7.2.1. Критерии оценки конкурсных работ: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 полной мере иллюстрирует тематику Конкурса и выбранной номинации (от 0 до 20 баллов);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имеет социальную ценность, исполняет просветительскую функцию (от 0 до 20 баллов);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компоненты ролика выстроены системно, взаимосвязаны и создают целостный образ (от 0 до 20 баллов);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оригинальность и творческий подход к представлению конкурсной работы (от 0 до 20 баллов);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качество видеосъемки (от 0 до 20 баллов);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применяемый технический и технологический инструментарий реализован на качественном уровне, адекватен поставленной цели, корректно исполнен (от 0 до 20 баллов).</w:t>
      </w:r>
      <w:r/>
    </w:p>
    <w:p>
      <w:pPr>
        <w:ind w:left="189" w:right="0" w:firstLine="519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7.2.2. Параметры оценки конкурсных работ. 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 Каждая конкурсная работа оценивается по бальной системе.          Максимальное количество баллов – 120 баллов.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8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Приложение 1</w:t>
      </w:r>
      <w:r/>
    </w:p>
    <w:p>
      <w:pPr>
        <w:ind w:left="189" w:right="0" w:hanging="1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Информационная карта Участника регионального конкурса семейных видеороликов «Мы этой земли продолжение»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07"/>
        <w:gridCol w:w="4549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Муниципалитет</w:t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Наименование дошкольного образовательного учреждения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Тема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117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ФИО (полностью) и дата рождения Участников Конкурса</w:t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  <w:p>
            <w:pPr>
              <w:ind w:left="0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  <w:p>
            <w:pPr>
              <w:ind w:left="189" w:right="0" w:hanging="10"/>
              <w:jc w:val="both"/>
              <w:spacing w:after="5" w:before="0"/>
              <w:tabs>
                <w:tab w:val="left" w:pos="1275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ab/>
              <w:tab/>
            </w:r>
            <w:r/>
          </w:p>
        </w:tc>
      </w:tr>
      <w:tr>
        <w:trPr>
          <w:trHeight w:val="689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Контактный телефон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89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E-mail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Дата____________________________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Подпись_________________________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Приложение 2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179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Я, _______________________________________________________________</w:t>
        <w:tab/>
        <w:t xml:space="preserve">документ, удостоверяющий личность:</w:t>
      </w:r>
      <w:r/>
    </w:p>
    <w:p>
      <w:pPr>
        <w:ind w:left="179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189" w:right="0" w:hanging="1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(номер и сведения о дате выдачи указанного документа и выдавшем его органе).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        В соответствии с требованиями ст.9 Федерального закона Российской Федерации от 27 июля 2006 г. №152-ФЗ «О персональных данных», подтверждаю свое согласие организаторам регионального конкурса семейных видеороликов «Мы этой земли продолжение»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на обработку моих персональных данных и персональных данных членов моей семьи в целях проверки на соответствие требованиям, предъявляемым Положением о проведении регионального конкурса семейных видеороликов «Мы этой земли продолжение» при условии, что их 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бработка осуществляется уполномоченными людьми, принявшими обязательства о сохранении конфиденциальности указанных сведений.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        Предоставляю организаторам Конкурса право осуществлять все действия (операции) с моими персональными данными и персональными данными членов моей семьи, включая сбор, систематизацию, накопление, хранение, обновление, изменение, использование,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обезличивание, блокирование, уничтожение. Организаторы вправе обрабатывать мои персональные данные посредством внесения их в электронную базу данных, списки и другие отчетные формы.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        Передача моих персональных данных и персональных данных членов моей семьи иным лицам или иное их разглашение может осуществляться только с моего письменного согласия.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         Я даю свое согласие на размещение конкурсной работы на официальных сайтах Организатора, а также в информационно-просветительских печатных и электронных изданиях.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Настоящее согласие дано мной «___»</w:t>
      </w:r>
      <w:r>
        <w:rPr>
          <w:rFonts w:ascii="Times New Roman" w:hAnsi="Times New Roman" w:cs="Times New Roman" w:eastAsia="Times New Roman"/>
          <w:color w:val="000000"/>
          <w:sz w:val="28"/>
          <w:u w:val="single"/>
        </w:rPr>
        <w:tab/>
        <w:t xml:space="preserve">                    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2022 г.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Подпись:</w:t>
        <mc:AlternateContent>
          <mc:Choice Requires="wpg">
            <w:drawing>
              <wp:inline xmlns:wp="http://schemas.openxmlformats.org/drawingml/2006/wordprocessingDrawing" distT="0" distB="0" distL="0" distR="0">
                <wp:extent cx="1181100" cy="952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181099" cy="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93.0pt;height:0.8pt;" stroked="false">
                <v:path textboxrect="0,0,0,0"/>
              </v:shape>
            </w:pict>
          </mc:Fallback>
        </mc:AlternateContent>
        <w:tab/>
        <w:t xml:space="preserve">/ФИО/   ______________________________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Приложение 3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ЭКСПЕРТНОЕ ЗАКЛЮЧЕНИЕ КОНКУРСА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55"/>
        <w:gridCol w:w="4683"/>
      </w:tblGrid>
      <w:tr>
        <w:trPr>
          <w:trHeight w:val="48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5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3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  <w:tbl>
            <w:tblPr>
              <w:tblStyle w:val="46"/>
              <w:tblW w:w="0" w:type="auto"/>
              <w:tblInd w:w="0" w:type="dxa"/>
              <w:tblBorders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insideV w:val="none" w:color="000000" w:sz="4" w:space="0"/>
                <w:insideH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670"/>
              <w:gridCol w:w="1023"/>
            </w:tblGrid>
            <w:tr>
              <w:trPr>
                <w:trHeight w:val="471"/>
              </w:trPr>
              <w:tc>
                <w:tcPr>
                  <w:tcBorders>
                    <w:left w:val="single" w:color="000000" w:sz="8" w:space="0"/>
                    <w:top w:val="single" w:color="000000" w:sz="8" w:space="0"/>
                    <w:right w:val="single" w:color="000000" w:sz="8" w:space="0"/>
                    <w:bottom w:val="single" w:color="000000" w:sz="8" w:space="0"/>
                  </w:tcBorders>
                  <w:tcMar>
                    <w:left w:w="111" w:type="dxa"/>
                    <w:top w:w="83" w:type="dxa"/>
                    <w:right w:w="115" w:type="dxa"/>
                    <w:bottom w:w="0" w:type="dxa"/>
                  </w:tcMar>
                  <w:tcW w:w="1670" w:type="dxa"/>
                  <w:vAlign w:val="top"/>
                  <w:textDirection w:val="lrTb"/>
                  <w:noWrap w:val="false"/>
                </w:tcPr>
                <w:p>
                  <w:pPr>
                    <w:ind w:left="189" w:right="0" w:hanging="1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Заявка №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single" w:color="000000" w:sz="8" w:space="0"/>
                    <w:right w:val="single" w:color="000000" w:sz="8" w:space="0"/>
                    <w:bottom w:val="single" w:color="000000" w:sz="8" w:space="0"/>
                  </w:tcBorders>
                  <w:tcMar>
                    <w:left w:w="111" w:type="dxa"/>
                    <w:top w:w="83" w:type="dxa"/>
                    <w:right w:w="115" w:type="dxa"/>
                    <w:bottom w:w="0" w:type="dxa"/>
                  </w:tcMar>
                  <w:tcW w:w="1023" w:type="dxa"/>
                  <w:vAlign w:val="top"/>
                  <w:textDirection w:val="lrTb"/>
                  <w:noWrap w:val="false"/>
                </w:tcPr>
                <w:p>
                  <w:pPr>
                    <w:ind w:left="189" w:right="0" w:hanging="1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r/>
          </w:p>
        </w:tc>
      </w:tr>
    </w:tbl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60"/>
        <w:gridCol w:w="6586"/>
      </w:tblGrid>
      <w:tr>
        <w:trPr>
          <w:trHeight w:val="42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115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Эксперт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115" w:type="dxa"/>
              <w:bottom w:w="0" w:type="dxa"/>
            </w:tcMar>
            <w:tcW w:w="6586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Критерии оценкиконкурсной работы</w:t>
        <w:tab/>
        <w:t xml:space="preserve">                                                                         Баллы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34"/>
        <w:gridCol w:w="902"/>
      </w:tblGrid>
      <w:tr>
        <w:trPr>
          <w:trHeight w:val="84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 полной мере иллюстрирует тематику Конкурса и выбранной номинации (от 0 до 20 баллов)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83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Имеет социальную ценность, носит просветительскую функцию (от 0 до 20баллов);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84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Компоненты выстроены системно, взаимосвязаны и создают целостный образ</w:t>
            </w:r>
            <w:r/>
          </w:p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(от 0 до 20 баллов);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83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Оригинальность и творческий подход к представлению конкурсной работы (от 0 до 20 баллов);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27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Качество видеосъемки (от 0 до 20 баллов);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243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Применяемый технический и технологический инструментарий реализован на качественном уровне, адекватен поставленной цели, корректно исполнен (от 0 до 20 баллов).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32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8434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ИТОГО БАЛЛОВ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84" w:type="dxa"/>
              <w:bottom w:w="0" w:type="dxa"/>
            </w:tcMar>
            <w:tcW w:w="902" w:type="dxa"/>
            <w:vAlign w:val="top"/>
            <w:textDirection w:val="lrTb"/>
            <w:noWrap w:val="false"/>
          </w:tcPr>
          <w:p>
            <w:pPr>
              <w:ind w:left="189" w:right="0" w:hanging="1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35"/>
        </w:rPr>
        <w:t xml:space="preserve">                                                               </w:t>
        <mc:AlternateContent>
          <mc:Choice Requires="wpg">
            <w:drawing>
              <wp:inline xmlns:wp="http://schemas.openxmlformats.org/drawingml/2006/wordprocessingDrawing" distT="0" distB="0" distL="0" distR="0">
                <wp:extent cx="1847850" cy="19050"/>
                <wp:effectExtent l="0" t="0" r="0" b="0"/>
                <wp:docPr id="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847849" cy="19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45.5pt;height:1.5pt;" stroked="false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  <w:sz w:val="3"/>
          <w:vertAlign w:val="subscript"/>
        </w:rPr>
        <w:tab/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4"/>
          <w:u w:val="single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4"/>
          <w:u w:val="single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2022 г.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ab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Дата составления заключения</w:t>
        <w:tab/>
        <w:t xml:space="preserve">                                               Подпись эксперта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189" w:right="0" w:hanging="1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189" w:right="0" w:hanging="1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egrescentrdotambov@mail.ru" TargetMode="External"/><Relationship Id="rId11" Type="http://schemas.openxmlformats.org/officeDocument/2006/relationships/hyperlink" Target="mailto:regrescentrdotambov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"Центр развития ребёнка - Детский сад "Возрождение"</cp:lastModifiedBy>
  <cp:revision>1</cp:revision>
  <dcterms:modified xsi:type="dcterms:W3CDTF">2022-03-17T09:22:17Z</dcterms:modified>
</cp:coreProperties>
</file>