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>Кошел</w:t>
      </w:r>
      <w:r>
        <w:rPr>
          <w:color w:val="000000"/>
          <w:sz w:val="28"/>
          <w:szCs w:val="28"/>
        </w:rPr>
        <w:t xml:space="preserve">ева 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физики</w:t>
      </w:r>
    </w:p>
    <w:p>
      <w:pPr>
        <w:pStyle w:val="NormalWeb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 xml:space="preserve">МОУ « </w:t>
      </w:r>
      <w:r>
        <w:rPr>
          <w:color w:val="000000"/>
          <w:sz w:val="28"/>
          <w:szCs w:val="28"/>
        </w:rPr>
        <w:t>Задор</w:t>
      </w:r>
      <w:r>
        <w:rPr>
          <w:color w:val="000000"/>
          <w:sz w:val="28"/>
          <w:szCs w:val="28"/>
        </w:rPr>
        <w:t>ская ООШ»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ФОРМИРОВАНИЕ ФУНКЦИОНАЛЬНОЙ ГРАМОТНОСТИ  НА УРОКАХ ФИЗИКИ.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указе Президента РФ В.В.Путина от 7 мая 2018 года №204 «О национальных целях и стратегических задачах развития Российской Федерации на период до 2024 года» обозначена цель обеспечения глобальной конкурентноспособности российского образования и вхождения  Российской Федерации в число десяти ведущих стран мира по качеству общего образования.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новых обстоятельствах процесс обучения в школе должен быть ориентирован на развитие компетентностей, способствующих реализации концепции «образование через всю жизнь». Задача современного обучения состоит не просто в сообщении знаний или в превращении знаний в инструмент творческого освоения мира. Данные психолого-педагогических исследований показывают, что новые знания учащихся могут формироваться как аддитивным путем, так и через пересмотр прежних знаний, постановку новых вопросов, выдвижение гипотез. В этом случае знания учащихся имеют инструментальный характер и будут востребованы в жизни ученика для объяснения окружающих его процессов и явлений. Вопрос же о том, как специальными педагогическими средствами целенаправленно развивать интеллект ученика, его творческое мышление, формировать научное мировоззрение и активную жизненную позицию, остается открытым. Это проблема номер один современных инновационных поисков.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широком определении функциональная грамотность выступает как способ социальной ориентации личности, интегрирующий связь образования с многоплановой человеческой деятельностью.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Ключевой фигурой в достижении заявленного высокого уровня отечественного образования является учитель. Он должен сформировать такие компетенции, как умение работать с информацией, с цифровыми технологиями. Требования, предъявляемые выпускнику, отражены в следующей таблице:</w:t>
      </w:r>
    </w:p>
    <w:tbl>
      <w:tblPr>
        <w:tblStyle w:val="a5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8"/>
        <w:gridCol w:w="2975"/>
        <w:gridCol w:w="3512"/>
      </w:tblGrid>
      <w:tr>
        <w:trPr/>
        <w:tc>
          <w:tcPr>
            <w:tcW w:w="33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35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sz w:val="28"/>
                <w:szCs w:val="28"/>
                <w:lang w:eastAsia="en-US"/>
              </w:rPr>
              <w:t>Качества личности</w:t>
            </w:r>
          </w:p>
        </w:tc>
      </w:tr>
      <w:tr>
        <w:trPr/>
        <w:tc>
          <w:tcPr>
            <w:tcW w:w="33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Читательская грамотность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Математическая грамотность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Естественнонаучная грамотность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ИКТ-грамотность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Финансовая грамотность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Культурная и гражданская грамотность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Критическое мышление/решение проблем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Креативность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Коммуникации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Сотрудничество</w:t>
            </w:r>
          </w:p>
        </w:tc>
        <w:tc>
          <w:tcPr>
            <w:tcW w:w="351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Любознательность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Инициативность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Настойчивость/выдержка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Адаптивность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Лидерство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eastAsia="Calibri"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000000"/>
                <w:sz w:val="28"/>
                <w:szCs w:val="28"/>
                <w:lang w:eastAsia="en-US"/>
              </w:rPr>
              <w:t>Социальная и культурная осведомленность</w:t>
            </w:r>
          </w:p>
        </w:tc>
      </w:tr>
    </w:tbl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Функциональная грамотность. Что это означает?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мнению С.Г. Вершловского и М.Г. Матюшкиной - «способ социальной ориентации личности, интегрирующий связь образования (в первую очередь общего) с многоплановой человеческой деятельностью».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«Это способность человека свободно использовать навыки и умения чтения и письма для получения информации из текста, то есть для его понимания, компрессии, трансформации и т.д. (чтение) и для передачи такой информации в реальном общении (письмо).» (А. А. Леонтьев 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В.В Мацкевич и С.А. Крупник считают, что это «способность человека вступать в отношения с внешней средой и максимально быстро адаптироваться и функционировать в ней».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Российский педагог, член-корреспондент РАО, Наталья Федоровна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Виноградова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определила функциональную  грамотность как базовое образование личности. 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Функциональная грамотность - это формирование тех универсальных учебных действий, которые заложены в ФГОС. В 2019 году Минпросвещения России инициировало новый проект «Мониторинг формирования функциональной грамотности обучающихся» - формирование способности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Национальный проект «Образование» призван обеспечить глобальную конкурентноспособность российской школы. В связи с этим, изучение физики должно быть ориентировано на развитие функциональной грамотности обучаемых. К сожалению, как показывают результаты международного исследования PISA, именно с формированием естественно-научной грамотности большинства школьников наша система образования пока справляется неудовлетворительно. Работая с учащимися часто задумываешься над вопросом, а понимают ли наши дети то, про что они читают. И сами себе даем ответ, нет, не понимают, а ведь им необходимо научиться изобретать, понимать новое, выражать собственные мысли, принимать решения, значит, учителю нужно переходить на исследовательские проекты и творческие занятия. Для этого нужны «новые учителя, открытые ко всему новому, понимающие детскую психологию и особенности развития школьников, хорошо знающие свой предмет. Для этого необходимо оснастить кабинеты интернетом и интерактивными учебными пособиями. Во многих психолого-педагогических источниках прямо указывается на то, что компетенции могут наиболее успешно формироваться в рамках проектной деятельности или технологии формирования критического мышления. 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Характер заданий для оценивания естественнонаучной грамотности российских учащихся в рамках национального мониторинга основывается на материалах международного исследования PISA. Эти материалы включают в себя собственно концепцию естественнонаучной грамотности, модель заданий по ее оцениванию и образцы таких заданий. Согласно определению, используемому в PISA, естественнонаучная грамотность – это  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 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</w:t>
      </w:r>
    </w:p>
    <w:p>
      <w:pPr>
        <w:pStyle w:val="Normal"/>
        <w:spacing w:lineRule="auto" w:line="240" w:before="0" w:after="0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Segoe UI Symbol" w:ascii="Segoe UI Symbol" w:hAnsi="Segoe UI Symbol"/>
          <w:color w:val="000000"/>
          <w:sz w:val="28"/>
          <w:szCs w:val="28"/>
        </w:rPr>
        <w:t>➢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научно объяснять явления; </w:t>
      </w:r>
    </w:p>
    <w:p>
      <w:pPr>
        <w:pStyle w:val="Normal"/>
        <w:spacing w:lineRule="auto" w:line="240" w:before="0" w:after="0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Segoe UI Symbol" w:ascii="Segoe UI Symbol" w:hAnsi="Segoe UI Symbol"/>
          <w:color w:val="000000"/>
          <w:sz w:val="28"/>
          <w:szCs w:val="28"/>
        </w:rPr>
        <w:t>➢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понимать основные особенности естественнонаучного исследования; </w:t>
      </w:r>
    </w:p>
    <w:p>
      <w:pPr>
        <w:pStyle w:val="Normal"/>
        <w:spacing w:lineRule="auto" w:line="240" w:before="0" w:after="0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Segoe UI Symbol" w:ascii="Segoe UI Symbol" w:hAnsi="Segoe UI Symbol"/>
          <w:color w:val="000000"/>
          <w:sz w:val="28"/>
          <w:szCs w:val="28"/>
        </w:rPr>
        <w:t>➢</w:t>
      </w:r>
      <w:r>
        <w:rPr>
          <w:rFonts w:cs="Times New Roman" w:ascii="Times New Roman" w:hAnsi="Times New Roman"/>
          <w:color w:val="000000"/>
          <w:sz w:val="28"/>
          <w:szCs w:val="28"/>
        </w:rPr>
        <w:t>интерпретировать данные и использовать научные доказательства для получения выводов.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Каждая из компетентностей, оцениваемых в задании, может демонстрироваться на материале научного знания следующих типов:</w:t>
      </w:r>
    </w:p>
    <w:p>
      <w:pPr>
        <w:pStyle w:val="Normal"/>
        <w:spacing w:lineRule="auto" w:line="240" w:before="0" w:after="0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•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Содержательное знание - знание научного содержания, относящегося к следующим областям: «Физические системы», «Живые системы» и «Науки о Земле и Вселенной». </w:t>
      </w:r>
    </w:p>
    <w:p>
      <w:pPr>
        <w:pStyle w:val="Normal"/>
        <w:spacing w:lineRule="auto" w:line="240" w:before="0" w:after="0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•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Процедурное знание - знание разнообразных методов, используемых для получения научного знания, а также знание стандартных исследовательских процедур. </w:t>
      </w:r>
    </w:p>
    <w:p>
      <w:pPr>
        <w:pStyle w:val="Normal"/>
        <w:spacing w:lineRule="auto" w:line="240" w:before="0" w:after="0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Содержательные области можно формально соотнести с предметными знаниями. Так, «Физические системы» – это преимущественно материал физики и химии, «Живые системы» – биология, «Науки о Земле и Вселенной» – география, геология, астрономия. Однако с точки зрения содержания задания по естественнонаучной грамотности, используемые в PISA, часто имеют межпредметный характер.</w:t>
      </w:r>
    </w:p>
    <w:p>
      <w:pPr>
        <w:pStyle w:val="Normal"/>
        <w:spacing w:lineRule="auto" w:line="240" w:before="0" w:after="0"/>
        <w:ind w:firstLine="85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Главное отличие программы PISA от ЕГЭ, ОГЭ и других российских тестов заключается в том, что она, в первую очередь, оценивает возможность школьников руководствоваться здравым смыслом и логикой при выполнении нестандартных задач.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FFFF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Учитель может использовать материалы PISA в своей работе, включая задания из открытого банка на определенных этапах урока: при формулировке темы урока или при закреплении изученного материала, а также во внеурочной деятельности по физике и астрономии.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изучении </w:t>
        <w:tab/>
        <w:t>темы "Сила трения" в 7 классе можно направить обучающихся к формулировке новой темы, используя 2 задания из комплексного задания "Горка", которое взято из открытого банка заданий по формированию функциональной грамотности школьников. На заключительном этапе урока при закреплении изученного материала номера 3 и 4 из этого же задания. Отвечая на поставленные вопросы, семиклассники анализируют описанное исследование и выясняют, от чего зависит сила трения, делают вывод о том, для чего каждый участник спустился с горы по 3 раза.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color w:val="000000"/>
          <w:sz w:val="28"/>
          <w:szCs w:val="28"/>
        </w:rPr>
        <w:t>Методика использования инновационных технологий обучения физике будет эффективной, если они обеспечат полное включение учащихся в познавательную деятельность на уроке, предполагающую самостоятельное получение и анализ результатов, диалоговую форму организации поисковой деятельности (исследовательские, игровые, дискуссионные и др.), положительный эмоциональный настрой учащихся на содержание урока и их ориентацию на достижение успеха в учебной деятельности со стороны обучающего, -— так и со стороны обучаемого: педагог ставит проблемы, задачи, обсуждает их совместно с учащимися, проводит дискуссии и планирование деятельности, а учащиеся решают поставленные перед ними задачи, оценивают полученные результаты. Такое взаимодействие является субъек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-объек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-субъектным общением, так как предметом педагогического общения всегда является какое-то содержание (объект), относительно которого оно осуществляется. Даже в том случае, когда не удается придти к общему мнению, дискуссия все равно оправдывает себя, ибо позволяет человеку более глубоко разобраться в проблеме, ориентироваться в противоречиях и в столкновениях между различными подходами к решению.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Отсюда вытекают требования и к компетентностям учителя, если он ставит задачу формирования естественно-научной грамотности учащихся.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сам должен обладать компетентностями, которые составляют естественно-научную грамотность, а это далеко не всегда имеет место. Только при этом условии он сможет целенаправленно использовать задания по естественно-научной грамотности в учебном процессе и тем более самостоятельно разрабатывать такие задания, так называемых компетентностно-ориентированных заданий.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должен выступать в качестве организатора (или координатора) продуктивной деятельности учащихся.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фактически означает, что на определённом уровне учитель должен обладать квалификацией учёного-исследователя, то есть в ходе своей профессиональной подготовки (включая повышение квалификации) получить и далее пополнять опыт исследовательской деятельности в области естественных наук.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Конфуций говорил: «Три пути ведут к знанию: путь подражания – это путь самый легкий, путь размышления – это путь самый благородный, и путь опыта – путь самый горький». Стоит опираться на свой школьный опыт и идти от простых моментов к более сложным и не расходовать свою энергию на то, чтобы достичь цели поскорее. Хороший учитель – тот, кто умело пользуется всеми тремя путями, в зависимости от выбранных целей и поставленных задач – хороший учитель. Таких, к счастью, становится больше в наших школах. Не следует бояться ошибок, поскольку ошибки могут дать иногда больше преимуществ, чем гладкий путь. Главное, верить в себя, свои силы и идти в нужном направлении.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 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743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e7439c"/>
    <w:pPr>
      <w:spacing w:lineRule="auto" w:line="276" w:before="0" w:after="200"/>
      <w:ind w:left="720" w:hanging="0"/>
      <w:contextualSpacing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e7439c"/>
    <w:pPr>
      <w:spacing w:after="0" w:line="240" w:lineRule="auto"/>
    </w:pPr>
    <w:rPr>
      <w:lang w:eastAsia="ru-RU"/>
      <w:sz w:val="24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Neat_Office/6.2.8.2$Windows_x86 LibreOffice_project/</Application>
  <Pages>5</Pages>
  <Words>1258</Words>
  <Characters>8975</Characters>
  <CharactersWithSpaces>10192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2021-10-04T06:25:00Z</dcterms:created>
  <dc:creator>Пользователь</dc:creator>
  <dc:description/>
  <dc:language>ru-RU</dc:language>
  <cp:lastModifiedBy/>
  <dcterms:modified xsi:type="dcterms:W3CDTF">2022-03-29T19:48:04Z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