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BD" w:rsidRPr="00CE0BBD" w:rsidRDefault="00CE0BBD" w:rsidP="00CE0BB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Технология развития критического мышления как один из методов формир</w:t>
      </w:r>
      <w:r w:rsidRPr="00CE0BB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вания ключ</w:t>
      </w:r>
      <w:r w:rsidRPr="00CE0BB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вых компетенций при изучении математики</w:t>
      </w:r>
    </w:p>
    <w:p w:rsidR="00CE0BBD" w:rsidRDefault="00CE0BBD" w:rsidP="00CE0B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spellStart"/>
      <w:r w:rsidRPr="00CE0BBD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Намдакова</w:t>
      </w:r>
      <w:proofErr w:type="spellEnd"/>
      <w:r w:rsidRPr="00CE0BBD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 xml:space="preserve"> Надежда Петровна</w:t>
      </w:r>
      <w:r w:rsidRPr="00CE0BBD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</w:t>
      </w:r>
    </w:p>
    <w:p w:rsidR="00CE0BBD" w:rsidRPr="00CE0BBD" w:rsidRDefault="00CE0BBD" w:rsidP="00CE0B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математики и информатики</w:t>
      </w:r>
    </w:p>
    <w:p w:rsidR="00CE0BBD" w:rsidRPr="00CE0BBD" w:rsidRDefault="00CE0BBD" w:rsidP="00CE0B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ГБПОУ «</w:t>
      </w:r>
      <w:r w:rsidRPr="00CE0BBD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Бурятский лесопромышленный колледж</w:t>
      </w:r>
      <w:r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</w:t>
      </w:r>
      <w:r w:rsidRPr="00CE0BBD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Разработка идей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компетентностного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 в обучении является одним из пе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спективных направлений модернизации образования. При этом подходе важным показ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телем к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чества обучения студентов становится наличие у них опыта решения жизненных проблем, социальных функций, практических навыков деятельности, т. е.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того, что мы называем ключевыми компетенциями. </w:t>
      </w:r>
      <w:proofErr w:type="gram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особенностей препод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вания математики, возможностей студентов, уровня их развития, позволил выделить в к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честве наиболее актуальных следующие компетенции: учебно-познавательную (определ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 цели и порядка работы, осуществление самоконтроля); коммуникативную (владение способами взаимодействия с окружающими, владение разными видами речевой деятел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ности); информационную (владение навыками работы с различными источниками инфо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мации, умение ориентироваться в информационных потоках); личностного самосове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шенствования (владение самоанализом, самоконтролем и коррекцией достигнутых р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зультатов).</w:t>
      </w:r>
      <w:proofErr w:type="gramEnd"/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Главная задача преподавателя - научить учиться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Какими методиками и технол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гиями  необходимо владеть современному преподавателю, чтобы развивать у студентов спосо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 брать на себя ответственность, участвовать в совместном принятии решений, уметь извлекать пользу из опыта, критически относиться к явлениям природы и общества, т.е. реализовать ключевые компетенции? Проработка литературы, изучение опыта коллег привели  к выводу, что одним из инновационных методов, позволяющих добиться поз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тивных результатов в формировании мыслительной деятельности студентов, одним из перспективных направлений в плане решения поставленных задач является осуществл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компетентностного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 средствами технологии развития критического мышл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ли человек может мыслить критически? Жан Пиаже писал, что к 14-17 г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 у ч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ловека наступает этап, когда критическое мышление получает свое наибольшее развитие. Вместе с тем это вовсе не означает, что навыки критического мышления в од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наковой степени развиты у каждого. Более того, многие студенты часто не могут выпо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нить те задания, которые требуют от них интеллектуальных усилий с использованием н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выков критического мышления. Для того</w:t>
      </w:r>
      <w:proofErr w:type="gram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студент мог воспользоваться своими возможност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 критического мыслителя, важно, чтобы он развивал в себе ряд важных качеств, среди которых: готовность к планированию, гибкость, настойчивость, готовность исправлять свои ошибки, осознание, поиск компромиссных решений. Т.е, можно сделать в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вод: </w:t>
      </w:r>
      <w:r w:rsidRPr="00CE0B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критически мыслить могут все люди, но не все хотят это делать; критическому мышлению нужно учить, но не просто ради самого критического мышления. Важно, чтобы студенты могли использовать навыки критического мышления в конкретной предметной деятельности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такое технология «критического мышления»? </w:t>
      </w:r>
      <w:r w:rsidRPr="00CE0B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«Критическое мышление» - 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обозначение некоторого педагогического подхода. </w:t>
      </w:r>
      <w:r w:rsidRPr="00CE0B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«Критическое мышление» - 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новый взгляд на урок, это технология дает освоение нового способа познания нового.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содержании целей технологии критического мышления  заложено формирование кл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чевых компетенций: информационной, коммуникативной, разрешения проблем.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технологии «развития критического мышления»: 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мотивация к учению, расширение знаний и развитие интеллектуальных умений, развитие рефлексивного ум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Основные направления формирования мыслительной деятельности в техн</w:t>
      </w: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логии развития критического мышления: з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аинтересовать, побудить к деятельности, создать условия для обобщения, научить добывать информацию, способствовать разв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тию крит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ческого мышления, научить самоанализу.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Структура урока в концепции «развития критического мышления».</w:t>
      </w:r>
    </w:p>
    <w:tbl>
      <w:tblPr>
        <w:tblW w:w="0" w:type="auto"/>
        <w:tblInd w:w="-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818"/>
        <w:gridCol w:w="1781"/>
        <w:gridCol w:w="2002"/>
        <w:gridCol w:w="2500"/>
      </w:tblGrid>
      <w:tr w:rsidR="00CE0BBD" w:rsidRPr="00CE0BBD" w:rsidTr="00CE0BBD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Стадия (ф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ность преп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давателя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ность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дентов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Возможные приемы и м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тоды данной техн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логии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Компете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ции</w:t>
            </w:r>
          </w:p>
        </w:tc>
      </w:tr>
      <w:tr w:rsidR="00CE0BBD" w:rsidRPr="00CE0BBD" w:rsidTr="00CE0BBD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выз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лизация и обобщение имеющихся у студентов знаний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знаний по данной теме; систематиз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инфо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 до ее изучения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кластеры, та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лицы, переп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танные логич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цепо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колесо пон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учебно-познавательная, коммуникативная</w:t>
            </w:r>
          </w:p>
        </w:tc>
      </w:tr>
      <w:tr w:rsidR="00CE0BBD" w:rsidRPr="00CE0BBD" w:rsidTr="00CE0BBD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осмы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интереса к теме при 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с новой инфо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мацией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мысление новой и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формации.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приемы: </w:t>
            </w:r>
            <w:proofErr w:type="spellStart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</w:t>
            </w:r>
            <w:proofErr w:type="spellEnd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борт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журнал, класт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учебно-познавательная, и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формационная,  коммуникативная</w:t>
            </w:r>
          </w:p>
        </w:tc>
      </w:tr>
      <w:tr w:rsidR="00CE0BBD" w:rsidRPr="00CE0BBD" w:rsidTr="00CE0BBD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рефле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                       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терпретация из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инфо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и сист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матиз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рождение 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цел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устан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вок; сам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 </w:t>
            </w:r>
            <w:proofErr w:type="spellStart"/>
            <w:proofErr w:type="gramStart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мо-определение</w:t>
            </w:r>
            <w:proofErr w:type="spellEnd"/>
            <w:proofErr w:type="gramEnd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кл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стеры, </w:t>
            </w:r>
            <w:proofErr w:type="spellStart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квейны</w:t>
            </w:r>
            <w:proofErr w:type="spellEnd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ские, исслед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или практич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онная</w:t>
            </w:r>
            <w:proofErr w:type="gramEnd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коммуник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тивная, личностного сам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ствования</w:t>
            </w:r>
          </w:p>
        </w:tc>
      </w:tr>
    </w:tbl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Изучив множество приёмов этой технологии, я выделила для себя несколько, к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торые 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тивно применяю на своих уроках.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Приём 1. «Верные и неверные утверждения» или «верите ли вы»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Проводится с целью в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ызвать интерес к изучению темы и создать положительную мот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вацию самостоятельного изучения материала по этой теме. Используется на стадии вызова. Предлагается несколько утверждений по ещё не изученной теме, необходимо в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брать «верные» утверждения, полагаясь на собственный опыт или просто угадывая. Идёт н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страивание на изучение новой темы, выделяются ключевые моменты.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98"/>
        <w:gridCol w:w="2085"/>
      </w:tblGrid>
      <w:tr w:rsidR="00CE0BBD" w:rsidRPr="00CE0BBD" w:rsidTr="00CE0BBD"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1………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2…………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«+» ве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«-»   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</w:p>
        </w:tc>
      </w:tr>
    </w:tbl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2. «Представление информации в кластерах»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Кластеры используются для структуризации и систематизации материала. Кластер – сп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 графической организации учебного материала, суть которой заключается в том, что в середине листа записывается или зарисовывается основное слово (идея, тема), а по сторонам от него фиксируются идеи (слова, рисунки), с ним связанные. Ребятам предлаг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ется прочитать изучаемый материал и вокруг основного слова (тема урока) выписать кл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чевые, по их мнению понятия, выражения,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формулы</w:t>
      </w:r>
      <w:proofErr w:type="gram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римером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может служить кластер по теме «Многогранники». От ключевого понятия «многогранники» расходятся стрелочки к понятиям «призма» и «пирамида». От них еще. Т.е. получается схема, с помощью которой можно повторить или обобщить все основные определения фигур данной темы, их сво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ства и признаки </w:t>
      </w:r>
      <w:r w:rsidRPr="00CE0BB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(рисунок 1)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0BBD" w:rsidRPr="00CE0BBD" w:rsidRDefault="00CE0BBD" w:rsidP="00CE0BBD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138810" cy="2419350"/>
            <wp:effectExtent l="19050" t="0" r="0" b="0"/>
            <wp:docPr id="3" name="Рисунок 3" descr="https://www.informio.ru/images/image001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nformio.ru/images/image001_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81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BBD" w:rsidRPr="00CE0BBD" w:rsidRDefault="00CE0BBD" w:rsidP="00CE0B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рисунок 1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над кластерами необходимо соблюдать следующие правила:</w:t>
      </w:r>
    </w:p>
    <w:p w:rsidR="00CE0BBD" w:rsidRPr="00CE0BBD" w:rsidRDefault="00CE0BBD" w:rsidP="00CE0B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бояться записывать все, что приходит на ум. Дать волю воображению и инту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ции.</w:t>
      </w:r>
    </w:p>
    <w:p w:rsidR="00CE0BBD" w:rsidRPr="00CE0BBD" w:rsidRDefault="00CE0BBD" w:rsidP="00CE0B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Продолжать работу, пока не кончится время или не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иссякнутидеи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E0BBD" w:rsidRPr="00CE0BBD" w:rsidRDefault="00CE0BBD" w:rsidP="00CE0B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Постараться построить как можно больше связей.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Разбивка на кластеры используется как на этапе вызова, так и на этапе рефлексии, может быть способом мотивации мыслительной деятельности до изучения темы или фо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 систематизации информации по итогам прохождения материала. В зависимости от цели может быть организована индивидуальная самостоятельная работа или коллективная  де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тельность в виде общего совместного обсуждения. Предметная область не ограничена, 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пользование кластеров возможно при изучении самых разнообразных тем.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Приём 3. «</w:t>
      </w:r>
      <w:proofErr w:type="spellStart"/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Инсерт</w:t>
      </w:r>
      <w:proofErr w:type="spellEnd"/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дословном переводе </w:t>
      </w:r>
      <w:proofErr w:type="spellStart"/>
      <w:r w:rsidRPr="00CE0B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инсерт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английского означает: интерактивная система з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писи для эффективного чтения и размышления. Прием осуществляется в несколько эт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пов.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</w:r>
    </w:p>
    <w:p w:rsidR="00CE0BBD" w:rsidRPr="00CE0BBD" w:rsidRDefault="00CE0BBD" w:rsidP="00CE0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</w:t>
      </w:r>
      <w:proofErr w:type="spellStart"/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</w:t>
      </w:r>
      <w:proofErr w:type="spellEnd"/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уже знал;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"+" 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новое;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</w:t>
      </w:r>
      <w:proofErr w:type="gramStart"/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–"</w:t>
      </w:r>
      <w:proofErr w:type="gramEnd"/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думал иначе;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"?" 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есть вопросы;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4. Концептуальная таблица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Подобная таблица удобна при сравнении, помогает систематизировать информ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цию, пр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водить параллели между явлениями, событиями или фактами. Можно попросить 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студе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  заполнить таблицу, работая в группах. Затем провести обсуждение и сравнение р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зультатов. Например: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1"/>
        <w:gridCol w:w="2592"/>
        <w:gridCol w:w="3690"/>
      </w:tblGrid>
      <w:tr w:rsidR="00CE0BBD" w:rsidRPr="00CE0BBD" w:rsidTr="00CE0BBD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Показательное ура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сравн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Логарифмическое ура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</w:p>
        </w:tc>
      </w:tr>
    </w:tbl>
    <w:p w:rsidR="00CE0BBD" w:rsidRPr="00CE0BBD" w:rsidRDefault="00CE0BBD" w:rsidP="00CE0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5"/>
        <w:gridCol w:w="1582"/>
        <w:gridCol w:w="1239"/>
        <w:gridCol w:w="1782"/>
        <w:gridCol w:w="1549"/>
        <w:gridCol w:w="1426"/>
      </w:tblGrid>
      <w:tr w:rsidR="00CE0BBD" w:rsidRPr="00CE0BBD" w:rsidTr="00CE0BBD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 определ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знач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spellEnd"/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Четность,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</w:tr>
      <w:tr w:rsidR="00CE0BBD" w:rsidRPr="00CE0BBD" w:rsidTr="00CE0BBD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BBD" w:rsidRPr="00CE0BBD" w:rsidTr="00CE0BBD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BBD" w:rsidRPr="00CE0BBD" w:rsidTr="00CE0BBD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5. Таблица «З-Х-У» («Знаю – Хочу знать – Узнал»)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Один из способов графической организации и логико-смыслового структуриров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 материала. Форма удобна тем, что предусматривает комплексный подход к содерж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нию т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CE0BBD" w:rsidRPr="00CE0BBD" w:rsidTr="00CE0BBD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узнать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</w:t>
            </w:r>
          </w:p>
        </w:tc>
      </w:tr>
    </w:tbl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6.«</w:t>
      </w:r>
      <w:proofErr w:type="spellStart"/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Синквейн</w:t>
      </w:r>
      <w:proofErr w:type="spellEnd"/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Происходит от французского слова «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cing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– пять. Это стихотворение, состоящее из пяти строк. Используется как способ синтеза материала. Лаконичность формы развивает сп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собность резюмировать информацию, излагать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47"/>
        <w:gridCol w:w="2936"/>
      </w:tblGrid>
      <w:tr w:rsidR="00CE0BBD" w:rsidRPr="00CE0BBD" w:rsidTr="00CE0BBD"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строка – тема (одно слово), существительное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строка – описание темы (два слова), имя прилаг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строка – описание действия (три слова), глагол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строка – отношение к теме (предложение, цитата, д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виз)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строка – одно слово (синоним)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4" w:type="dxa"/>
              <w:left w:w="164" w:type="dxa"/>
              <w:bottom w:w="164" w:type="dxa"/>
              <w:right w:w="164" w:type="dxa"/>
            </w:tcMar>
            <w:hideMark/>
          </w:tcPr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Многогранники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Правильные, </w:t>
            </w:r>
            <w:proofErr w:type="spellStart"/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п-угольные</w:t>
            </w:r>
            <w:proofErr w:type="spellEnd"/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Рисовать, находить площадь, строить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Встречаются везде</w:t>
            </w:r>
          </w:p>
          <w:p w:rsidR="00CE0BBD" w:rsidRPr="00CE0BBD" w:rsidRDefault="00CE0BBD" w:rsidP="00CE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Кристаллы</w:t>
            </w:r>
          </w:p>
        </w:tc>
      </w:tr>
    </w:tbl>
    <w:p w:rsidR="00CE0BBD" w:rsidRPr="00CE0BBD" w:rsidRDefault="00CE0BBD" w:rsidP="00CE0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Приемы и методы данной технологии используются на разных этапах урока, разр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ботаны материалы по многим темам. Сравнительный анализ уровня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ключевых образовательных компетенций у студентов предыдущего набора и нынешнего показывает положительную динамику.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Проделанная  работа позволяет сделать </w:t>
      </w: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выводы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методические приемы для разв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тия критического мышления, включающие в себя групповую работу, моделирование учебного материала, ролевые игры, дискуссии, индивидуальные и групповые проекты, способств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ют приобретению знаний, обеспечивают более глубокое усвоение содержания, повышают интерес к предмету, способствуют созданию индивидуальной траектории, ра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вивают с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циальные и индивидуальные навыки. Студент, умеющий критически мыслить, принцип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ально принимает возможность сосуществования разнообразных точек зрения в рамках общечеловеческих ценностей, учится работать в коллективе. Таким образом, у н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формируются ключевые компетенции, а это именно то, чего требуют от нас совреме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ные подходы к образованию</w:t>
      </w:r>
    </w:p>
    <w:p w:rsidR="00CE0BBD" w:rsidRPr="00CE0BBD" w:rsidRDefault="00CE0BBD" w:rsidP="00C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Список литературы</w:t>
      </w:r>
    </w:p>
    <w:p w:rsidR="00CE0BBD" w:rsidRPr="00CE0BBD" w:rsidRDefault="00CE0BBD" w:rsidP="00CE0BB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Биккулова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Р. Развитие критического мышления в контексте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медиаобраз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вания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[Текст] /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Биккулова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Р.// Инновации в образовании. - 2009. - № 3. - С. 4-17.</w:t>
      </w:r>
    </w:p>
    <w:p w:rsidR="00CE0BBD" w:rsidRPr="00CE0BBD" w:rsidRDefault="00CE0BBD" w:rsidP="00CE0BB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Заир-Бек С., </w:t>
      </w:r>
      <w:proofErr w:type="spellStart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Муштавинская</w:t>
      </w:r>
      <w:proofErr w:type="spellEnd"/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 Развитие критического мышления на уроке. Пос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бие для учителя. – М., 2004.</w:t>
      </w:r>
    </w:p>
    <w:p w:rsidR="00CE0BBD" w:rsidRPr="00CE0BBD" w:rsidRDefault="00CE0BBD" w:rsidP="00CE0BB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Приемы технологии развития критического мышл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 </w:t>
      </w:r>
      <w:hyperlink r:id="rId6" w:history="1">
        <w:r w:rsidRPr="00CE0BBD">
          <w:rPr>
            <w:rFonts w:ascii="Times New Roman" w:eastAsia="Times New Roman" w:hAnsi="Times New Roman" w:cs="Times New Roman"/>
            <w:color w:val="1453BA"/>
            <w:sz w:val="24"/>
            <w:szCs w:val="24"/>
            <w:lang w:eastAsia="ru-RU"/>
          </w:rPr>
          <w:t>http://www.kmspb.narod.ru/posobie/</w:t>
        </w:r>
      </w:hyperlink>
      <w:r w:rsidRPr="00CE0B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5CD0" w:rsidRPr="00CE0BBD" w:rsidRDefault="00605CD0" w:rsidP="00CE0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5CD0" w:rsidRPr="00CE0BBD" w:rsidSect="0060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2EA"/>
    <w:multiLevelType w:val="multilevel"/>
    <w:tmpl w:val="DA9A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71396"/>
    <w:multiLevelType w:val="multilevel"/>
    <w:tmpl w:val="1954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A3B41"/>
    <w:multiLevelType w:val="multilevel"/>
    <w:tmpl w:val="F7169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E0BBD"/>
    <w:rsid w:val="00605CD0"/>
    <w:rsid w:val="00CE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0"/>
  </w:style>
  <w:style w:type="paragraph" w:styleId="1">
    <w:name w:val="heading 1"/>
    <w:basedOn w:val="a"/>
    <w:link w:val="10"/>
    <w:uiPriority w:val="9"/>
    <w:qFormat/>
    <w:rsid w:val="00CE0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CE0BBD"/>
  </w:style>
  <w:style w:type="character" w:customStyle="1" w:styleId="comments">
    <w:name w:val="comments"/>
    <w:basedOn w:val="a0"/>
    <w:rsid w:val="00CE0BBD"/>
  </w:style>
  <w:style w:type="character" w:customStyle="1" w:styleId="fio">
    <w:name w:val="fio"/>
    <w:basedOn w:val="a0"/>
    <w:rsid w:val="00CE0BBD"/>
  </w:style>
  <w:style w:type="character" w:styleId="a3">
    <w:name w:val="Hyperlink"/>
    <w:basedOn w:val="a0"/>
    <w:uiPriority w:val="99"/>
    <w:semiHidden/>
    <w:unhideWhenUsed/>
    <w:rsid w:val="00CE0B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0BBD"/>
    <w:rPr>
      <w:i/>
      <w:iCs/>
    </w:rPr>
  </w:style>
  <w:style w:type="character" w:styleId="a6">
    <w:name w:val="Strong"/>
    <w:basedOn w:val="a0"/>
    <w:uiPriority w:val="22"/>
    <w:qFormat/>
    <w:rsid w:val="00CE0BB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246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254">
              <w:marLeft w:val="327"/>
              <w:marRight w:val="0"/>
              <w:marTop w:val="0"/>
              <w:marBottom w:val="655"/>
              <w:divBdr>
                <w:top w:val="none" w:sz="0" w:space="0" w:color="auto"/>
                <w:left w:val="single" w:sz="12" w:space="25" w:color="EEEEEE"/>
                <w:bottom w:val="none" w:sz="0" w:space="0" w:color="auto"/>
                <w:right w:val="none" w:sz="0" w:space="0" w:color="auto"/>
              </w:divBdr>
              <w:divsChild>
                <w:div w:id="13933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spb.narod.ru/posobi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1494</Words>
  <Characters>8522</Characters>
  <Application>Microsoft Office Word</Application>
  <DocSecurity>0</DocSecurity>
  <Lines>71</Lines>
  <Paragraphs>19</Paragraphs>
  <ScaleCrop>false</ScaleCrop>
  <Company>Home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namdakova.NP</dc:creator>
  <cp:lastModifiedBy>namdakova.NP</cp:lastModifiedBy>
  <cp:revision>2</cp:revision>
  <dcterms:created xsi:type="dcterms:W3CDTF">2021-03-29T06:02:00Z</dcterms:created>
  <dcterms:modified xsi:type="dcterms:W3CDTF">2021-03-29T06:02:00Z</dcterms:modified>
</cp:coreProperties>
</file>