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DE8" w:rsidRPr="00A8737E" w:rsidRDefault="00740DE8" w:rsidP="00740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Городское методическое объединение педагогов ДОД – как путь  профессионального совершенствования</w:t>
      </w: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740DE8" w:rsidP="005D69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5D698A">
        <w:rPr>
          <w:rFonts w:ascii="Times New Roman" w:hAnsi="Times New Roman" w:cs="Times New Roman"/>
          <w:sz w:val="28"/>
          <w:szCs w:val="28"/>
        </w:rPr>
        <w:t xml:space="preserve"> – Н.В. Зайцева</w:t>
      </w:r>
    </w:p>
    <w:p w:rsidR="005D698A" w:rsidRDefault="005D698A" w:rsidP="005D6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DE8" w:rsidRDefault="00740DE8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DE8" w:rsidRDefault="00740DE8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DE8" w:rsidRDefault="00740DE8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DE8" w:rsidRDefault="00740DE8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DE8" w:rsidRDefault="00740DE8" w:rsidP="005D6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г. Гуково </w:t>
      </w:r>
    </w:p>
    <w:p w:rsidR="005D698A" w:rsidRDefault="005D698A" w:rsidP="005D6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5D698A" w:rsidRDefault="00935BF6" w:rsidP="00935B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проект «Образование», Региональный проект «Успех каждого ребенка» определяет дополнительное образование как один из приоритетов инновационного развития страны. Поэтому основная цель деятельности ГМО педагогов дополнительного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Гуково была направлена на совершенствование процесса обучения и воспитания в системе дополнительного образовани</w:t>
      </w:r>
      <w:r w:rsidR="00A8737E">
        <w:rPr>
          <w:rFonts w:ascii="Times New Roman" w:hAnsi="Times New Roman" w:cs="Times New Roman"/>
          <w:sz w:val="28"/>
          <w:szCs w:val="28"/>
        </w:rPr>
        <w:t>я в соответствии с реализацией Р</w:t>
      </w:r>
      <w:r>
        <w:rPr>
          <w:rFonts w:ascii="Times New Roman" w:hAnsi="Times New Roman" w:cs="Times New Roman"/>
          <w:sz w:val="28"/>
          <w:szCs w:val="28"/>
        </w:rPr>
        <w:t>егионального проекта «Успех каждого ребенка»</w:t>
      </w:r>
      <w:r w:rsidR="00A8737E">
        <w:rPr>
          <w:rFonts w:ascii="Times New Roman" w:hAnsi="Times New Roman" w:cs="Times New Roman"/>
          <w:sz w:val="28"/>
          <w:szCs w:val="28"/>
        </w:rPr>
        <w:t xml:space="preserve"> в рамках Н</w:t>
      </w:r>
      <w:r>
        <w:rPr>
          <w:rFonts w:ascii="Times New Roman" w:hAnsi="Times New Roman" w:cs="Times New Roman"/>
          <w:sz w:val="28"/>
          <w:szCs w:val="28"/>
        </w:rPr>
        <w:t>ационального проекта «Образование».</w:t>
      </w:r>
    </w:p>
    <w:p w:rsidR="00935BF6" w:rsidRDefault="00935BF6" w:rsidP="00935B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="007915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ГМО </w:t>
      </w:r>
      <w:r w:rsidR="007915F9">
        <w:rPr>
          <w:rFonts w:ascii="Times New Roman" w:hAnsi="Times New Roman" w:cs="Times New Roman"/>
          <w:sz w:val="28"/>
          <w:szCs w:val="28"/>
        </w:rPr>
        <w:t>вели работу представители администрации и педагоги учреждений дополнительного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3974"/>
        <w:gridCol w:w="2704"/>
        <w:gridCol w:w="1821"/>
      </w:tblGrid>
      <w:tr w:rsidR="006D4BF7" w:rsidRPr="00593E62" w:rsidTr="00593E62">
        <w:tc>
          <w:tcPr>
            <w:tcW w:w="1072" w:type="dxa"/>
          </w:tcPr>
          <w:p w:rsidR="006D4BF7" w:rsidRPr="00593E62" w:rsidRDefault="006D4BF7" w:rsidP="00C05508">
            <w:pPr>
              <w:pStyle w:val="a3"/>
              <w:spacing w:after="0"/>
              <w:ind w:left="28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3E6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D4BF7" w:rsidRPr="00593E62" w:rsidRDefault="006D4BF7" w:rsidP="00C05508">
            <w:pPr>
              <w:pStyle w:val="a3"/>
              <w:spacing w:after="0"/>
              <w:ind w:left="28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593E6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93E62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593E6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74" w:type="dxa"/>
          </w:tcPr>
          <w:p w:rsidR="006D4BF7" w:rsidRPr="00593E62" w:rsidRDefault="006D4BF7" w:rsidP="00C055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821" w:type="dxa"/>
          </w:tcPr>
          <w:p w:rsidR="006D4BF7" w:rsidRPr="00593E62" w:rsidRDefault="006D4BF7" w:rsidP="00C055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Зайцева Наталья Викторовна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</w:p>
        </w:tc>
        <w:tc>
          <w:tcPr>
            <w:tcW w:w="1821" w:type="dxa"/>
            <w:vMerge w:val="restart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МБУ ДО ДДТ</w:t>
            </w:r>
          </w:p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Пышненко Оксана Александровна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Гудкова Ольга Петровна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Тараненко Ольга Николаевна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Ревина</w:t>
            </w:r>
            <w:proofErr w:type="spell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 Юрьевна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Весельева</w:t>
            </w:r>
            <w:proofErr w:type="spell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Леонидовна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1821" w:type="dxa"/>
            <w:vMerge w:val="restart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МБУ ДО СЮТ</w:t>
            </w:r>
          </w:p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Шарапова Елена Евгеньевна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Иванова Наталия Валериевна 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Айдамирова</w:t>
            </w:r>
            <w:proofErr w:type="spell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Богданов Андрей Александрович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иректора </w:t>
            </w:r>
            <w:proofErr w:type="spell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поУВР</w:t>
            </w:r>
            <w:proofErr w:type="spellEnd"/>
          </w:p>
        </w:tc>
        <w:tc>
          <w:tcPr>
            <w:tcW w:w="1821" w:type="dxa"/>
            <w:vMerge w:val="restart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МБУ ДО ЦЮ</w:t>
            </w:r>
            <w:proofErr w:type="gram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Д«</w:t>
            </w:r>
            <w:proofErr w:type="spellStart"/>
            <w:proofErr w:type="gram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Русич</w:t>
            </w:r>
            <w:proofErr w:type="spell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Ужегова</w:t>
            </w:r>
            <w:proofErr w:type="spellEnd"/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Маркова Алевтина Анатольевна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Маляр Владимир Алексеевич 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BF7" w:rsidRPr="00593E62" w:rsidTr="00593E62">
        <w:tc>
          <w:tcPr>
            <w:tcW w:w="1072" w:type="dxa"/>
          </w:tcPr>
          <w:p w:rsidR="006D4BF7" w:rsidRPr="00593E62" w:rsidRDefault="006D4BF7" w:rsidP="006D4BF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Руденко Александр Васильевич</w:t>
            </w:r>
          </w:p>
        </w:tc>
        <w:tc>
          <w:tcPr>
            <w:tcW w:w="2704" w:type="dxa"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E62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</w:p>
        </w:tc>
        <w:tc>
          <w:tcPr>
            <w:tcW w:w="1821" w:type="dxa"/>
            <w:vMerge/>
          </w:tcPr>
          <w:p w:rsidR="006D4BF7" w:rsidRPr="00593E62" w:rsidRDefault="006D4BF7" w:rsidP="00C05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3E62" w:rsidRPr="008E5B11" w:rsidRDefault="00593E62" w:rsidP="00593E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11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работы ГМО выявились основные запросы и направления, как в области педагогического просвещения, так и в области выявления и обобщения эффективного педагогического опыта.</w:t>
      </w:r>
    </w:p>
    <w:p w:rsidR="00593E62" w:rsidRPr="008E5B11" w:rsidRDefault="00593E62" w:rsidP="00593E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Тематическими модулями 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>в ходе инициирования, обсуждения и предъявления опыта стали: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93E62">
        <w:rPr>
          <w:rFonts w:ascii="Times New Roman" w:eastAsia="Times New Roman" w:hAnsi="Times New Roman"/>
          <w:sz w:val="28"/>
          <w:szCs w:val="28"/>
        </w:rPr>
        <w:t xml:space="preserve">научно-методическая и организационная поддержка педагогов в </w:t>
      </w:r>
      <w:proofErr w:type="gramStart"/>
      <w:r w:rsidRPr="00593E62">
        <w:rPr>
          <w:rFonts w:ascii="Times New Roman" w:eastAsia="Times New Roman" w:hAnsi="Times New Roman"/>
          <w:sz w:val="28"/>
          <w:szCs w:val="28"/>
        </w:rPr>
        <w:t>аттестационный</w:t>
      </w:r>
      <w:proofErr w:type="gramEnd"/>
      <w:r w:rsidRPr="00593E62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593E62">
        <w:rPr>
          <w:rFonts w:ascii="Times New Roman" w:eastAsia="Times New Roman" w:hAnsi="Times New Roman"/>
          <w:sz w:val="28"/>
          <w:szCs w:val="28"/>
        </w:rPr>
        <w:t>межаттестационный</w:t>
      </w:r>
      <w:proofErr w:type="spellEnd"/>
      <w:r w:rsidRPr="00593E62">
        <w:rPr>
          <w:rFonts w:ascii="Times New Roman" w:eastAsia="Times New Roman" w:hAnsi="Times New Roman"/>
          <w:sz w:val="28"/>
          <w:szCs w:val="28"/>
        </w:rPr>
        <w:t xml:space="preserve"> периоды;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93E62">
        <w:rPr>
          <w:rFonts w:ascii="Times New Roman" w:eastAsia="Times New Roman" w:hAnsi="Times New Roman"/>
          <w:sz w:val="28"/>
          <w:szCs w:val="28"/>
        </w:rPr>
        <w:t>развитие требований к содержанию, структуре и проце</w:t>
      </w:r>
      <w:r>
        <w:rPr>
          <w:rFonts w:ascii="Times New Roman" w:eastAsia="Times New Roman" w:hAnsi="Times New Roman"/>
          <w:sz w:val="28"/>
          <w:szCs w:val="28"/>
        </w:rPr>
        <w:t>дурам реализации дополнительных общеразвивающих</w:t>
      </w:r>
      <w:r w:rsidRPr="00593E62">
        <w:rPr>
          <w:rFonts w:ascii="Times New Roman" w:eastAsia="Times New Roman" w:hAnsi="Times New Roman"/>
          <w:sz w:val="28"/>
          <w:szCs w:val="28"/>
        </w:rPr>
        <w:t xml:space="preserve"> программ в сфере дополни</w:t>
      </w:r>
      <w:r>
        <w:rPr>
          <w:rFonts w:ascii="Times New Roman" w:eastAsia="Times New Roman" w:hAnsi="Times New Roman"/>
          <w:sz w:val="28"/>
          <w:szCs w:val="28"/>
        </w:rPr>
        <w:t>тельного образования детей</w:t>
      </w:r>
      <w:r w:rsidRPr="00593E62">
        <w:rPr>
          <w:rFonts w:ascii="Times New Roman" w:eastAsia="Times New Roman" w:hAnsi="Times New Roman"/>
          <w:sz w:val="28"/>
          <w:szCs w:val="28"/>
        </w:rPr>
        <w:t>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93E62">
        <w:rPr>
          <w:rFonts w:ascii="Times New Roman" w:eastAsia="Times New Roman" w:hAnsi="Times New Roman"/>
          <w:sz w:val="28"/>
          <w:szCs w:val="28"/>
        </w:rPr>
        <w:t>внедрение электронной системы методической помощи педагогам (МПП);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организационно-методической продукции. Технологическая карта методических рекомендаций по самообразованию педагога;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современной структуры Бланка анализа открытого занятия;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методические разработки современной, вариативной организации занятия в УДО;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93E62">
        <w:rPr>
          <w:rFonts w:ascii="Times New Roman" w:eastAsia="Times New Roman" w:hAnsi="Times New Roman"/>
          <w:sz w:val="28"/>
          <w:szCs w:val="28"/>
        </w:rPr>
        <w:t>дидактические ресурсы Интернет сообщества;</w:t>
      </w:r>
    </w:p>
    <w:p w:rsidR="00593E62" w:rsidRDefault="00593E62" w:rsidP="00593E6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93E62">
        <w:rPr>
          <w:rFonts w:ascii="Times New Roman" w:eastAsia="Times New Roman" w:hAnsi="Times New Roman"/>
          <w:sz w:val="28"/>
          <w:szCs w:val="28"/>
        </w:rPr>
        <w:t>участие в сетевых п</w:t>
      </w:r>
      <w:r>
        <w:rPr>
          <w:rFonts w:ascii="Times New Roman" w:eastAsia="Times New Roman" w:hAnsi="Times New Roman"/>
          <w:sz w:val="28"/>
          <w:szCs w:val="28"/>
        </w:rPr>
        <w:t xml:space="preserve">роектных сообществах в сферы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8069B8" w:rsidRDefault="00593E62" w:rsidP="008069B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93E62">
        <w:rPr>
          <w:rFonts w:ascii="Times New Roman" w:eastAsia="Times New Roman" w:hAnsi="Times New Roman"/>
          <w:sz w:val="28"/>
          <w:szCs w:val="28"/>
        </w:rPr>
        <w:t>методическая продукция педаг</w:t>
      </w:r>
      <w:r>
        <w:rPr>
          <w:rFonts w:ascii="Times New Roman" w:eastAsia="Times New Roman" w:hAnsi="Times New Roman"/>
          <w:sz w:val="28"/>
          <w:szCs w:val="28"/>
        </w:rPr>
        <w:t>ога дополнительного образования и др.</w:t>
      </w:r>
    </w:p>
    <w:p w:rsidR="008069B8" w:rsidRPr="008069B8" w:rsidRDefault="008069B8" w:rsidP="008069B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Забота о кадровом потенциале </w:t>
      </w:r>
      <w:r w:rsidRPr="008069B8">
        <w:rPr>
          <w:rFonts w:ascii="Times New Roman" w:eastAsia="Times New Roman" w:hAnsi="Times New Roman"/>
          <w:sz w:val="28"/>
          <w:szCs w:val="28"/>
        </w:rPr>
        <w:t>отразилась и на качестве аттестации педагогов. Во всех учреждениях дополнительного образования аттестация педагогов финиширует со следующей формулировкой: «соответствует заявленной категории». В портфолио у педагогов материалы, свидетельствующие об их участии в постоянно действующем профессиональном сообществе – ГМО педагогов дополнительного образования.</w:t>
      </w:r>
    </w:p>
    <w:p w:rsidR="007C6796" w:rsidRPr="008E5B11" w:rsidRDefault="007C6796" w:rsidP="007C679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городского методического совета педагогов дополнительного образования</w:t>
      </w:r>
      <w:r w:rsidR="00A8737E">
        <w:rPr>
          <w:rFonts w:ascii="Times New Roman" w:eastAsia="Times New Roman" w:hAnsi="Times New Roman" w:cs="Times New Roman"/>
          <w:sz w:val="28"/>
          <w:szCs w:val="28"/>
        </w:rPr>
        <w:t xml:space="preserve"> продолжил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A8737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 xml:space="preserve"> по ведению базы данных качества работы 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Этот раздел работы представлен в электронной системе МПП. 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>В текстах высту</w:t>
      </w:r>
      <w:r>
        <w:rPr>
          <w:rFonts w:ascii="Times New Roman" w:eastAsia="Times New Roman" w:hAnsi="Times New Roman" w:cs="Times New Roman"/>
          <w:sz w:val="28"/>
          <w:szCs w:val="28"/>
        </w:rPr>
        <w:t>плений особенно явственно звучали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 xml:space="preserve"> темы: личностно-ориентированной пед</w:t>
      </w:r>
      <w:r>
        <w:rPr>
          <w:rFonts w:ascii="Times New Roman" w:eastAsia="Times New Roman" w:hAnsi="Times New Roman" w:cs="Times New Roman"/>
          <w:sz w:val="28"/>
          <w:szCs w:val="28"/>
        </w:rPr>
        <w:t>агогики и УУД в свете ФГОС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>. Намечены темы обобщения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Ивановой Н.В. (МБУ ДО СЮТ)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умений переноса ЗУН из известной области в малоизвестную или неизвестн</w:t>
      </w:r>
      <w:r>
        <w:rPr>
          <w:rFonts w:ascii="Times New Roman" w:eastAsia="Times New Roman" w:hAnsi="Times New Roman" w:cs="Times New Roman"/>
          <w:sz w:val="28"/>
          <w:szCs w:val="28"/>
        </w:rPr>
        <w:t>ую с целями решения новых задач.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 xml:space="preserve"> У педагогов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МБУ ДО ДДТ 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>достаточ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интересный опыт по разработке и реализации авторских дополнительных общеобразовательных программ. Высоких достижений обучающихся добились педагоги МБУ ДО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СЮТ в проектно-исследовательской деятельности. Развитие морально-волевых качеств обучающихся и гражданско-патриотического воспитания – вот основной положительный опыт </w:t>
      </w:r>
      <w:r w:rsidR="00A8737E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в рамках ГМО педагогическим коллективом МБУ ДО ЦЮД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C6796" w:rsidRPr="008E5B11" w:rsidRDefault="007C6796" w:rsidP="007C67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11">
        <w:rPr>
          <w:rFonts w:ascii="Times New Roman" w:eastAsia="Times New Roman" w:hAnsi="Times New Roman" w:cs="Times New Roman"/>
          <w:sz w:val="28"/>
          <w:szCs w:val="28"/>
        </w:rPr>
        <w:t>В ходе работы ГМО обсуждались ресурсные составляющие организационно-методичес</w:t>
      </w:r>
      <w:r>
        <w:rPr>
          <w:rFonts w:ascii="Times New Roman" w:eastAsia="Times New Roman" w:hAnsi="Times New Roman" w:cs="Times New Roman"/>
          <w:sz w:val="28"/>
          <w:szCs w:val="28"/>
        </w:rPr>
        <w:t>кого сопровождения детей и подростков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 xml:space="preserve"> в выстраивании «линии успешности». Дополнительное образование города ежегодно финиширует успехами очень высо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порядка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8E5B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E62" w:rsidRDefault="007C6796" w:rsidP="007C67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B11">
        <w:rPr>
          <w:rFonts w:ascii="Times New Roman" w:eastAsia="Times New Roman" w:hAnsi="Times New Roman" w:cs="Times New Roman"/>
          <w:sz w:val="28"/>
          <w:szCs w:val="28"/>
        </w:rPr>
        <w:t>Профессионалы в преподаваемых видах деятельности в секторе дополнительного образования демонстрируют свои компетенции в областях общей педагогики и психологии (возрастной и психологии учебной деятельности), а также на территории специальной, т.е. част</w:t>
      </w:r>
      <w:r>
        <w:rPr>
          <w:rFonts w:ascii="Times New Roman" w:eastAsia="Times New Roman" w:hAnsi="Times New Roman" w:cs="Times New Roman"/>
          <w:sz w:val="28"/>
          <w:szCs w:val="28"/>
        </w:rPr>
        <w:t>ной методики видов дея</w:t>
      </w:r>
      <w:r w:rsidR="00A8737E">
        <w:rPr>
          <w:rFonts w:ascii="Times New Roman" w:eastAsia="Times New Roman" w:hAnsi="Times New Roman" w:cs="Times New Roman"/>
          <w:sz w:val="28"/>
          <w:szCs w:val="28"/>
        </w:rPr>
        <w:t xml:space="preserve">тельности и </w:t>
      </w:r>
      <w:r w:rsidR="00C03ED6">
        <w:rPr>
          <w:rFonts w:ascii="Times New Roman" w:eastAsia="Times New Roman" w:hAnsi="Times New Roman" w:cs="Times New Roman"/>
          <w:sz w:val="28"/>
          <w:szCs w:val="28"/>
        </w:rPr>
        <w:t>на открытых занятиях в рамках школы ГМО «Уроки педагогического мастерства». Активными участниками в работе ГМО в этом учебном году стали: Телешев Е.Л. – педагог ДОД МБУ ДО ЦЮД «</w:t>
      </w:r>
      <w:proofErr w:type="spellStart"/>
      <w:r w:rsidR="00C03ED6">
        <w:rPr>
          <w:rFonts w:ascii="Times New Roman" w:eastAsia="Times New Roman" w:hAnsi="Times New Roman" w:cs="Times New Roman"/>
          <w:sz w:val="28"/>
          <w:szCs w:val="28"/>
        </w:rPr>
        <w:t>Русич</w:t>
      </w:r>
      <w:proofErr w:type="spellEnd"/>
      <w:r w:rsidR="00C03ED6">
        <w:rPr>
          <w:rFonts w:ascii="Times New Roman" w:eastAsia="Times New Roman" w:hAnsi="Times New Roman" w:cs="Times New Roman"/>
          <w:sz w:val="28"/>
          <w:szCs w:val="28"/>
        </w:rPr>
        <w:t xml:space="preserve">», Шарапова Е.Е.- методист МБУ ДО СЮТ, Иванова Н.В.- педагог МБУ ДО СЮТ, Пышненко О.А. – методист МБУ ДО ДДТ, Пинкина Л.Б., Гудкова О.П. – педагоги </w:t>
      </w:r>
      <w:r w:rsidR="003C2911">
        <w:rPr>
          <w:rFonts w:ascii="Times New Roman" w:eastAsia="Times New Roman" w:hAnsi="Times New Roman" w:cs="Times New Roman"/>
          <w:sz w:val="28"/>
          <w:szCs w:val="28"/>
        </w:rPr>
        <w:t>МБУ ДО ДДТ.</w:t>
      </w:r>
      <w:r w:rsidR="00C03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1F5" w:rsidRPr="00B8193C" w:rsidRDefault="00A071F5" w:rsidP="00A071F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071F5">
        <w:rPr>
          <w:rFonts w:ascii="Times New Roman" w:eastAsia="Times New Roman" w:hAnsi="Times New Roman" w:cs="Times New Roman"/>
          <w:sz w:val="28"/>
          <w:szCs w:val="28"/>
        </w:rPr>
        <w:t>Организация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еятельности городского методического объединения педагогов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071F5">
        <w:rPr>
          <w:rFonts w:ascii="Times New Roman" w:eastAsia="Times New Roman" w:hAnsi="Times New Roman" w:cs="Times New Roman"/>
          <w:sz w:val="28"/>
          <w:szCs w:val="28"/>
        </w:rPr>
        <w:t xml:space="preserve"> носит гибкий характер, 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конкретную ситуацию в УДО</w:t>
      </w:r>
      <w:r w:rsidRPr="008C4735">
        <w:rPr>
          <w:rFonts w:ascii="Times New Roman" w:eastAsia="Times New Roman" w:hAnsi="Times New Roman" w:cs="Times New Roman"/>
          <w:sz w:val="28"/>
          <w:szCs w:val="28"/>
        </w:rPr>
        <w:t>, обеспечивая возможность каждому педагогу повысит</w:t>
      </w:r>
      <w:r>
        <w:rPr>
          <w:rFonts w:ascii="Times New Roman" w:eastAsia="Times New Roman" w:hAnsi="Times New Roman" w:cs="Times New Roman"/>
          <w:sz w:val="28"/>
          <w:szCs w:val="28"/>
        </w:rPr>
        <w:t>ь свой профессиональный уровень. Так, в рамках дистанционного образования, работа ГМО осуществлялась в социальной сети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5" w:history="1">
        <w:r w:rsidRPr="00301A83">
          <w:rPr>
            <w:rStyle w:val="a4"/>
            <w:rFonts w:ascii="Times New Roman" w:hAnsi="Times New Roman" w:cs="Times New Roman"/>
            <w:sz w:val="28"/>
            <w:szCs w:val="28"/>
          </w:rPr>
          <w:t>https://vk.com/metod2020</w:t>
        </w:r>
      </w:hyperlink>
      <w:r w:rsidR="00C03E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3ED6">
        <w:rPr>
          <w:rFonts w:ascii="Times New Roman" w:hAnsi="Times New Roman" w:cs="Times New Roman"/>
          <w:sz w:val="28"/>
          <w:szCs w:val="28"/>
        </w:rPr>
        <w:t>офлай</w:t>
      </w:r>
      <w:proofErr w:type="gramStart"/>
      <w:r w:rsidR="00C03ED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03ED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03ED6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:rsidR="003A003D" w:rsidRPr="00FE0FF4" w:rsidRDefault="003A003D" w:rsidP="003A003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59D">
        <w:rPr>
          <w:rFonts w:ascii="Times New Roman" w:hAnsi="Times New Roman" w:cs="Times New Roman"/>
          <w:sz w:val="28"/>
          <w:szCs w:val="28"/>
        </w:rPr>
        <w:t xml:space="preserve">В целом, анализируя завершившийся учебный год, можно отметить, что поставленные задачи </w:t>
      </w:r>
      <w:r>
        <w:rPr>
          <w:rFonts w:ascii="Times New Roman" w:hAnsi="Times New Roman" w:cs="Times New Roman"/>
          <w:sz w:val="28"/>
          <w:szCs w:val="28"/>
        </w:rPr>
        <w:t xml:space="preserve">в работе городского методического объединения 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59D">
        <w:rPr>
          <w:rFonts w:ascii="Times New Roman" w:hAnsi="Times New Roman" w:cs="Times New Roman"/>
          <w:sz w:val="28"/>
          <w:szCs w:val="28"/>
        </w:rPr>
        <w:t>реализованы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полностью</w:t>
      </w:r>
      <w:r w:rsidRPr="005E65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следующем учебном году продолжится работа по реализации Регионального проекта «Успех каждого ребенка» в рамках Национального проекта «Образование» а также будет обобщен положительный опыт дистанционного обучения детей и подростков в условиях самоизоляции среди 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71F5" w:rsidRDefault="00A071F5" w:rsidP="003A003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69B8" w:rsidRPr="00593E62" w:rsidRDefault="008069B8" w:rsidP="00A873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8069B8" w:rsidRPr="00593E62" w:rsidSect="00B0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F83"/>
    <w:multiLevelType w:val="hybridMultilevel"/>
    <w:tmpl w:val="A0D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4E41"/>
    <w:multiLevelType w:val="hybridMultilevel"/>
    <w:tmpl w:val="A984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32E0B"/>
    <w:multiLevelType w:val="hybridMultilevel"/>
    <w:tmpl w:val="9230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5D698A"/>
    <w:rsid w:val="003373A2"/>
    <w:rsid w:val="003A003D"/>
    <w:rsid w:val="003C2911"/>
    <w:rsid w:val="00593E62"/>
    <w:rsid w:val="005D698A"/>
    <w:rsid w:val="006D4BF7"/>
    <w:rsid w:val="00740DE8"/>
    <w:rsid w:val="007915F9"/>
    <w:rsid w:val="007C6796"/>
    <w:rsid w:val="008069B8"/>
    <w:rsid w:val="00935BF6"/>
    <w:rsid w:val="009959AC"/>
    <w:rsid w:val="009D56D6"/>
    <w:rsid w:val="00A071F5"/>
    <w:rsid w:val="00A8737E"/>
    <w:rsid w:val="00B00919"/>
    <w:rsid w:val="00C03ED6"/>
    <w:rsid w:val="00FA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F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071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metod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17</cp:revision>
  <dcterms:created xsi:type="dcterms:W3CDTF">2020-06-08T06:15:00Z</dcterms:created>
  <dcterms:modified xsi:type="dcterms:W3CDTF">2020-09-15T06:22:00Z</dcterms:modified>
</cp:coreProperties>
</file>