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75"/>
        </w:tabs>
        <w:spacing w:after="0" w:line="240" w:lineRule="auto"/>
        <w:jc w:val="center"/>
        <w:rPr>
          <w:rFonts w:ascii="Times New Roman" w:hAnsi="Times New Roman" w:eastAsia="Times New Roman"/>
          <w:sz w:val="36"/>
          <w:szCs w:val="36"/>
          <w:lang w:eastAsia="ru-RU"/>
        </w:rPr>
      </w:pPr>
      <w:r>
        <w:rPr>
          <w:rFonts w:ascii="Times New Roman" w:hAnsi="Times New Roman" w:eastAsia="Times New Roman"/>
          <w:sz w:val="36"/>
          <w:szCs w:val="36"/>
          <w:lang w:eastAsia="ru-RU"/>
        </w:rPr>
        <w:t xml:space="preserve">Муниципальное автономное учреждение </w:t>
      </w:r>
    </w:p>
    <w:p>
      <w:pPr>
        <w:tabs>
          <w:tab w:val="left" w:pos="6075"/>
        </w:tabs>
        <w:spacing w:after="0" w:line="240" w:lineRule="auto"/>
        <w:jc w:val="center"/>
        <w:rPr>
          <w:rFonts w:ascii="Times New Roman" w:hAnsi="Times New Roman" w:eastAsia="Times New Roman"/>
          <w:sz w:val="36"/>
          <w:szCs w:val="36"/>
          <w:lang w:eastAsia="ru-RU"/>
        </w:rPr>
      </w:pPr>
      <w:r>
        <w:rPr>
          <w:rFonts w:ascii="Times New Roman" w:hAnsi="Times New Roman" w:eastAsia="Times New Roman"/>
          <w:sz w:val="36"/>
          <w:szCs w:val="36"/>
          <w:lang w:eastAsia="ru-RU"/>
        </w:rPr>
        <w:t>дополнительного образования города Перми</w:t>
      </w:r>
    </w:p>
    <w:p>
      <w:pPr>
        <w:tabs>
          <w:tab w:val="left" w:pos="6075"/>
        </w:tabs>
        <w:spacing w:after="120" w:line="240" w:lineRule="auto"/>
        <w:jc w:val="center"/>
        <w:rPr>
          <w:rFonts w:ascii="Times New Roman" w:hAnsi="Times New Roman" w:eastAsia="Times New Roman"/>
          <w:b/>
          <w:sz w:val="44"/>
          <w:szCs w:val="44"/>
          <w:lang w:eastAsia="ru-RU"/>
        </w:rPr>
      </w:pPr>
      <w:r>
        <w:rPr>
          <w:rFonts w:ascii="Times New Roman" w:hAnsi="Times New Roman" w:eastAsia="Times New Roman"/>
          <w:b/>
          <w:sz w:val="44"/>
          <w:szCs w:val="44"/>
          <w:lang w:eastAsia="ru-RU"/>
        </w:rPr>
        <w:t>«Детская музыкальная школа № 6»</w:t>
      </w:r>
    </w:p>
    <w:p>
      <w:pPr>
        <w:tabs>
          <w:tab w:val="left" w:pos="6075"/>
        </w:tabs>
        <w:spacing w:after="12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rPr>
          <w:rFonts w:ascii="Times New Roman" w:hAnsi="Times New Roman" w:eastAsiaTheme="minorHAnsi"/>
          <w:b/>
          <w:sz w:val="28"/>
          <w:szCs w:val="28"/>
        </w:rPr>
      </w:pPr>
    </w:p>
    <w:p>
      <w:pPr>
        <w:rPr>
          <w:rFonts w:ascii="Times New Roman" w:hAnsi="Times New Roman" w:eastAsiaTheme="minorHAnsi"/>
          <w:b/>
          <w:sz w:val="28"/>
          <w:szCs w:val="28"/>
        </w:rPr>
      </w:pPr>
    </w:p>
    <w:p>
      <w:pPr>
        <w:rPr>
          <w:rFonts w:ascii="Times New Roman" w:hAnsi="Times New Roman" w:eastAsiaTheme="minorHAnsi"/>
          <w:b/>
          <w:sz w:val="28"/>
          <w:szCs w:val="28"/>
        </w:rPr>
      </w:pPr>
    </w:p>
    <w:p>
      <w:pPr>
        <w:rPr>
          <w:rFonts w:ascii="Times New Roman" w:hAnsi="Times New Roman" w:eastAsiaTheme="minorHAnsi"/>
          <w:b/>
          <w:sz w:val="28"/>
          <w:szCs w:val="28"/>
        </w:rPr>
      </w:pPr>
    </w:p>
    <w:p>
      <w:pPr>
        <w:rPr>
          <w:rFonts w:ascii="Times New Roman" w:hAnsi="Times New Roman" w:eastAsiaTheme="minorHAnsi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Theme="minorHAnsi"/>
          <w:b/>
          <w:sz w:val="48"/>
          <w:szCs w:val="48"/>
        </w:rPr>
      </w:pPr>
      <w:r>
        <w:rPr>
          <w:rFonts w:ascii="Times New Roman" w:hAnsi="Times New Roman" w:eastAsiaTheme="minorHAnsi"/>
          <w:b/>
          <w:sz w:val="48"/>
          <w:szCs w:val="48"/>
        </w:rPr>
        <w:t>Методическая разработка</w:t>
      </w:r>
    </w:p>
    <w:p>
      <w:pPr>
        <w:spacing w:after="0" w:line="240" w:lineRule="auto"/>
        <w:jc w:val="center"/>
        <w:rPr>
          <w:rFonts w:hint="default" w:ascii="Times New Roman" w:hAnsi="Times New Roman" w:eastAsiaTheme="minorHAnsi"/>
          <w:b/>
          <w:sz w:val="48"/>
          <w:szCs w:val="48"/>
          <w:lang w:val="ru-RU"/>
        </w:rPr>
      </w:pPr>
      <w:r>
        <w:rPr>
          <w:rFonts w:ascii="Times New Roman" w:hAnsi="Times New Roman" w:eastAsiaTheme="minorHAnsi"/>
          <w:b/>
          <w:sz w:val="48"/>
          <w:szCs w:val="48"/>
        </w:rPr>
        <w:t>«</w:t>
      </w:r>
      <w:r>
        <w:rPr>
          <w:rFonts w:ascii="Times New Roman" w:hAnsi="Times New Roman" w:eastAsiaTheme="minorHAnsi"/>
          <w:b/>
          <w:sz w:val="48"/>
          <w:szCs w:val="48"/>
          <w:lang w:val="ru-RU"/>
        </w:rPr>
        <w:t>Работа</w:t>
      </w:r>
      <w:r>
        <w:rPr>
          <w:rFonts w:hint="default" w:ascii="Times New Roman" w:hAnsi="Times New Roman" w:eastAsiaTheme="minorHAnsi"/>
          <w:b/>
          <w:sz w:val="48"/>
          <w:szCs w:val="48"/>
          <w:lang w:val="ru-RU"/>
        </w:rPr>
        <w:t xml:space="preserve"> над сонатной формой в средних классах музыкальной школы на примере сонаты  </w:t>
      </w:r>
    </w:p>
    <w:p>
      <w:pPr>
        <w:spacing w:after="0" w:line="240" w:lineRule="auto"/>
        <w:jc w:val="center"/>
        <w:rPr>
          <w:rFonts w:ascii="Times New Roman" w:hAnsi="Times New Roman" w:eastAsiaTheme="minorHAnsi"/>
          <w:b/>
          <w:sz w:val="48"/>
          <w:szCs w:val="48"/>
        </w:rPr>
      </w:pPr>
      <w:r>
        <w:rPr>
          <w:rFonts w:hint="default" w:ascii="Times New Roman" w:hAnsi="Times New Roman" w:eastAsiaTheme="minorHAnsi"/>
          <w:b/>
          <w:sz w:val="48"/>
          <w:szCs w:val="48"/>
          <w:lang w:val="ru-RU"/>
        </w:rPr>
        <w:t>Й. Гайдна</w:t>
      </w:r>
      <w:r>
        <w:rPr>
          <w:rFonts w:ascii="Times New Roman" w:hAnsi="Times New Roman" w:eastAsiaTheme="minorHAnsi"/>
          <w:b/>
          <w:sz w:val="48"/>
          <w:szCs w:val="48"/>
        </w:rPr>
        <w:t>»</w:t>
      </w:r>
    </w:p>
    <w:p>
      <w:pPr>
        <w:rPr>
          <w:rFonts w:ascii="Times New Roman" w:hAnsi="Times New Roman" w:eastAsiaTheme="minorHAnsi"/>
          <w:b/>
          <w:sz w:val="28"/>
          <w:szCs w:val="28"/>
        </w:rPr>
      </w:pPr>
    </w:p>
    <w:p>
      <w:pPr>
        <w:rPr>
          <w:rFonts w:ascii="Times New Roman" w:hAnsi="Times New Roman" w:eastAsiaTheme="minorHAnsi"/>
          <w:b/>
          <w:sz w:val="28"/>
          <w:szCs w:val="28"/>
        </w:rPr>
      </w:pPr>
    </w:p>
    <w:p>
      <w:pPr>
        <w:jc w:val="center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Составитель</w:t>
      </w:r>
    </w:p>
    <w:p>
      <w:pPr>
        <w:ind w:firstLine="1081" w:firstLineChars="300"/>
        <w:jc w:val="both"/>
        <w:rPr>
          <w:rFonts w:hint="default" w:ascii="Times New Roman" w:hAnsi="Times New Roman" w:eastAsiaTheme="minorHAnsi"/>
          <w:b/>
          <w:sz w:val="36"/>
          <w:szCs w:val="36"/>
          <w:lang w:val="ru-RU"/>
        </w:rPr>
      </w:pPr>
      <w:r>
        <w:rPr>
          <w:rFonts w:ascii="Times New Roman" w:hAnsi="Times New Roman" w:eastAsiaTheme="minorHAnsi"/>
          <w:b/>
          <w:sz w:val="36"/>
          <w:szCs w:val="36"/>
          <w:lang w:val="ru-RU"/>
        </w:rPr>
        <w:t>НАТАЛЬЯ</w:t>
      </w:r>
      <w:r>
        <w:rPr>
          <w:rFonts w:hint="default" w:ascii="Times New Roman" w:hAnsi="Times New Roman" w:eastAsiaTheme="minorHAnsi"/>
          <w:b/>
          <w:sz w:val="36"/>
          <w:szCs w:val="36"/>
          <w:lang w:val="ru-RU"/>
        </w:rPr>
        <w:t xml:space="preserve"> ЕВГЕНИЕВНА ТУРСКАЯ</w:t>
      </w:r>
    </w:p>
    <w:p>
      <w:pPr>
        <w:ind w:firstLine="1081" w:firstLineChars="300"/>
        <w:jc w:val="both"/>
        <w:rPr>
          <w:rFonts w:ascii="Times New Roman" w:hAnsi="Times New Roman" w:eastAsiaTheme="minorHAnsi"/>
          <w:b/>
          <w:sz w:val="36"/>
          <w:szCs w:val="36"/>
        </w:rPr>
      </w:pPr>
      <w:r>
        <w:rPr>
          <w:rFonts w:ascii="Times New Roman" w:hAnsi="Times New Roman" w:eastAsiaTheme="minorHAnsi"/>
          <w:b/>
          <w:sz w:val="36"/>
          <w:szCs w:val="36"/>
        </w:rPr>
        <w:t>преподаватель по классу фортепиано</w:t>
      </w:r>
    </w:p>
    <w:p>
      <w:pPr>
        <w:rPr>
          <w:rFonts w:ascii="Times New Roman" w:hAnsi="Times New Roman" w:eastAsiaTheme="minorHAnsi"/>
          <w:b/>
          <w:sz w:val="28"/>
          <w:szCs w:val="28"/>
        </w:rPr>
      </w:pPr>
    </w:p>
    <w:p>
      <w:pPr>
        <w:rPr>
          <w:rFonts w:ascii="Times New Roman" w:hAnsi="Times New Roman" w:eastAsiaTheme="minorHAnsi"/>
          <w:b/>
          <w:sz w:val="28"/>
          <w:szCs w:val="28"/>
        </w:rPr>
      </w:pPr>
    </w:p>
    <w:p>
      <w:pPr>
        <w:rPr>
          <w:rFonts w:ascii="Times New Roman" w:hAnsi="Times New Roman" w:eastAsiaTheme="minorHAnsi"/>
          <w:b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120" w:afterAutospacing="0" w:line="15" w:lineRule="atLeast"/>
        <w:jc w:val="both"/>
        <w:rPr>
          <w:rFonts w:ascii="Arial CYR" w:hAnsi="Arial CYR" w:eastAsia="Arial CYR" w:cs="Arial CYR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120" w:afterAutospacing="0" w:line="15" w:lineRule="atLeast"/>
        <w:jc w:val="center"/>
        <w:rPr>
          <w:rFonts w:ascii="Arial CYR" w:hAnsi="Arial CYR" w:eastAsia="Arial CYR" w:cs="Arial CYR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120" w:afterAutospacing="0" w:line="15" w:lineRule="atLeast"/>
        <w:jc w:val="center"/>
        <w:rPr>
          <w:rFonts w:ascii="Arial CYR" w:hAnsi="Arial CYR" w:eastAsia="Arial CYR" w:cs="Arial CYR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120" w:afterAutospacing="0" w:line="15" w:lineRule="atLeast"/>
        <w:jc w:val="center"/>
        <w:rPr>
          <w:rFonts w:hint="default" w:ascii="Arial CYR" w:hAnsi="Arial CYR" w:eastAsia="Arial CYR" w:cs="Arial CYR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ru-RU"/>
        </w:rPr>
      </w:pPr>
      <w:r>
        <w:rPr>
          <w:rFonts w:ascii="Arial CYR" w:hAnsi="Arial CYR" w:eastAsia="Arial CYR" w:cs="Arial CYR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РАБОТА НАД СОНАТНОЙ ФОРМОЙ В СРЕДНИХ КЛАССАХ МУЗЫКАЛЬНОЙ ШКОЛЫ  НА ПРИМЕРЕ СОНАТЫ</w:t>
      </w:r>
      <w:r>
        <w:rPr>
          <w:rFonts w:hint="default" w:ascii="Arial CYR" w:hAnsi="Arial CYR" w:eastAsia="Arial CYR" w:cs="Arial CYR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120" w:afterAutospacing="0" w:line="15" w:lineRule="atLeast"/>
        <w:ind w:firstLine="1821" w:firstLineChars="650"/>
        <w:jc w:val="both"/>
      </w:pPr>
      <w:r>
        <w:rPr>
          <w:rFonts w:ascii="Arial CYR" w:hAnsi="Arial CYR" w:eastAsia="Arial CYR" w:cs="Arial CYR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Й</w:t>
      </w:r>
      <w:r>
        <w:rPr>
          <w:rFonts w:hint="default" w:ascii="Arial CYR" w:hAnsi="Arial CYR" w:eastAsia="Arial CYR" w:cs="Arial CYR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. </w:t>
      </w:r>
      <w:r>
        <w:rPr>
          <w:rFonts w:ascii="Arial CYR" w:hAnsi="Arial CYR" w:eastAsia="Arial CYR" w:cs="Arial CYR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ГАЙДНА C-DUR (HOB. XVI-10)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Для развития ученика большое значение имеет работа над сонатой-одной из самых важных форм музыкальной литературы.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Понятие «крупная форма» предполагает в первую очередь протяженное развитие, глубину замысла, наличие контрастных образов и связанные с ними специфические исполнительские задачи, а именно: уметь передать характер каждого образа, уметь моментально перестраиваться с одного образа на другой и собрать все воедино, охватить взглядом все произведение целиком.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ascii="Arial" w:hAnsi="Arial" w:cs="Arial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Что такое «соната»? Свое название она получила от латинского слова sonare, что в переводе значит «звучать». Изначально сонатами называли различные инструментальные произведения. Позднее словом соната стали обозначать крупные циклические произведения, состоящие из 3 или 4 частей. Небольшие по размеру сонаты назвали «сонатина» - маленькая соната.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Сонатная форма-построение музыкального произведения на противопоставлении и развитии двух контрастных тем, наиболее развитая из всех гомофонных форм. Она дает возможность объединить самый разнообразный материал, иногда на очень большом временном пространстве.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Сонатная форма, при всей её сложности, обладает большой стройностью и устойчивостью. Благодаря этому она остается актуальной и в нашей время. Сонатная форма стала наиболее полным выражением идей европейского классицизма. В ней имеет место конфликтность, сопоставление двух образов, развитие конфликта и его результат. Эта форма стала единственной, в которой драма была выражена чисто музыкальными средствами,без привлечения каких-либо иных средств,например текста в опере 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В обобщенном виде  схема формы такова- ГП- главная партия, ПП- побочная партия, СП - связующая партия, ЗП -  заключительная партия.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469"/>
        <w:gridCol w:w="540"/>
        <w:gridCol w:w="514"/>
        <w:gridCol w:w="510"/>
        <w:gridCol w:w="1660"/>
        <w:gridCol w:w="525"/>
        <w:gridCol w:w="540"/>
        <w:gridCol w:w="555"/>
        <w:gridCol w:w="495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95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ascii="Times New Roman CYR" w:hAnsi="Times New Roman CYR" w:eastAsia="Times New Roman CYR" w:cs="Times New Roman CYR"/>
                <w:sz w:val="32"/>
                <w:szCs w:val="32"/>
                <w:bdr w:val="none" w:color="auto" w:sz="0" w:space="0"/>
              </w:rPr>
              <w:t>Экспозиция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hint="default" w:ascii="Times New Roman CYR" w:hAnsi="Times New Roman CYR" w:eastAsia="Times New Roman CYR" w:cs="Times New Roman CYR"/>
                <w:b/>
                <w:sz w:val="32"/>
                <w:szCs w:val="32"/>
                <w:bdr w:val="none" w:color="auto" w:sz="0" w:space="0"/>
              </w:rPr>
              <w:t>Разработка</w:t>
            </w:r>
          </w:p>
        </w:tc>
        <w:tc>
          <w:tcPr>
            <w:tcW w:w="210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hint="default" w:ascii="Times New Roman CYR" w:hAnsi="Times New Roman CYR" w:eastAsia="Times New Roman CYR" w:cs="Times New Roman CYR"/>
                <w:sz w:val="32"/>
                <w:szCs w:val="32"/>
                <w:bdr w:val="none" w:color="auto" w:sz="0" w:space="0"/>
              </w:rPr>
              <w:t>Реприза</w:t>
            </w:r>
          </w:p>
        </w:tc>
        <w:tc>
          <w:tcPr>
            <w:tcW w:w="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after="195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hint="default" w:ascii="Times New Roman CYR" w:hAnsi="Times New Roman CYR" w:eastAsia="Times New Roman CYR" w:cs="Times New Roman CYR"/>
                <w:b/>
                <w:sz w:val="32"/>
                <w:szCs w:val="32"/>
                <w:bdr w:val="none" w:color="auto" w:sz="0" w:space="0"/>
              </w:rPr>
              <w:t>ГП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hint="default" w:ascii="Times New Roman CYR" w:hAnsi="Times New Roman CYR" w:eastAsia="Times New Roman CYR" w:cs="Times New Roman CYR"/>
                <w:b/>
                <w:sz w:val="32"/>
                <w:szCs w:val="32"/>
                <w:bdr w:val="none" w:color="auto" w:sz="0" w:space="0"/>
              </w:rPr>
              <w:t>СП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hint="default" w:ascii="Times New Roman CYR" w:hAnsi="Times New Roman CYR" w:eastAsia="Times New Roman CYR" w:cs="Times New Roman CYR"/>
                <w:b/>
                <w:sz w:val="32"/>
                <w:szCs w:val="32"/>
                <w:bdr w:val="none" w:color="auto" w:sz="0" w:space="0"/>
              </w:rPr>
              <w:t>ПП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hint="default" w:ascii="Times New Roman CYR" w:hAnsi="Times New Roman CYR" w:eastAsia="Times New Roman CYR" w:cs="Times New Roman CYR"/>
                <w:b/>
                <w:sz w:val="32"/>
                <w:szCs w:val="32"/>
                <w:bdr w:val="none" w:color="auto" w:sz="0" w:space="0"/>
              </w:rPr>
              <w:t>ЗП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after="195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hint="default" w:ascii="Times New Roman CYR" w:hAnsi="Times New Roman CYR" w:eastAsia="Times New Roman CYR" w:cs="Times New Roman CYR"/>
                <w:b/>
                <w:sz w:val="32"/>
                <w:szCs w:val="32"/>
                <w:bdr w:val="none" w:color="auto" w:sz="0" w:space="0"/>
              </w:rPr>
              <w:t>ГП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hint="default" w:ascii="Times New Roman CYR" w:hAnsi="Times New Roman CYR" w:eastAsia="Times New Roman CYR" w:cs="Times New Roman CYR"/>
                <w:b/>
                <w:sz w:val="32"/>
                <w:szCs w:val="32"/>
                <w:bdr w:val="none" w:color="auto" w:sz="0" w:space="0"/>
              </w:rPr>
              <w:t>СП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hint="default" w:ascii="Times New Roman CYR" w:hAnsi="Times New Roman CYR" w:eastAsia="Times New Roman CYR" w:cs="Times New Roman CYR"/>
                <w:b/>
                <w:sz w:val="32"/>
                <w:szCs w:val="32"/>
                <w:bdr w:val="none" w:color="auto" w:sz="0" w:space="0"/>
              </w:rPr>
              <w:t>ПП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hint="default" w:ascii="Times New Roman CYR" w:hAnsi="Times New Roman CYR" w:eastAsia="Times New Roman CYR" w:cs="Times New Roman CYR"/>
                <w:b/>
                <w:sz w:val="32"/>
                <w:szCs w:val="32"/>
                <w:bdr w:val="none" w:color="auto" w:sz="0" w:space="0"/>
              </w:rPr>
              <w:t>ЗП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after="195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after="195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  <w:lang w:val="en-US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  <w:lang w:val="en-US"/>
              </w:rPr>
              <w:t>D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after="195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  <w:lang w:val="en-US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  <w:lang w:val="en-US"/>
              </w:rPr>
              <w:t>T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sz w:val="32"/>
                <w:szCs w:val="32"/>
              </w:rPr>
            </w:pPr>
            <w:r>
              <w:rPr>
                <w:rFonts w:hint="default" w:ascii="Calibri" w:hAnsi="Calibri" w:cs="Calibri"/>
                <w:sz w:val="32"/>
                <w:szCs w:val="32"/>
                <w:bdr w:val="none" w:color="auto" w:sz="0" w:space="0"/>
              </w:rPr>
              <w:t>     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after="195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  <w:bdr w:val="none" w:color="auto" w:sz="0" w:space="0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Экспозиция ― начальный раздел формы. Она состоит из главной партии в главной тональности, связующей партии (в которой происходит модуляция), побочной партии в новой тональности и с новым образным наполнением и заключительной партией, которая завершает экспозицию. Партиями называют различные участки экспозиции, обособленные гармонически.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Экспозиция- то же, что и завязка в пьесе, она содержит изложение основных музыкальных тем. Слушатель как бы знакомится с участниками действия. Так, главная партия выдержана в основной тональности, связующая представляет собой неустойчивый ход, побочная партия выдержана в новой тональности. Главная партия - чрезвычайно важная составляющая экспозиции. Она основа будущего конфликта и развития.  В рассматриваемой сонате основная мысль произведения ярко и лаконично заключена в главной партии - ее начальном восьмитакте. Типично классический период - два взаимоуравновешивающие предложения: «вопрос-ответ», легкая мелодия-песенка с предельно простым сопровождением. Перед нами возникает вполне законченный образ, полный тонких стилистических деталей, по которым сразу заметен творческий почерк композитора.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В сонате нет обособленной связующей партии ― модуляция в доминантовую тональность происходит в конце второго предложения.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Главная гармоническая функция побочной партии - установление новой тональности. В абсолютном большинстве случаев это тональности доминантового направления: для мажорного произведения - доминантовая тональность, для минорного - доминантовая  или параллельная. В редких случаях это может быть параллельная (минорная) тональность в мажорном произведении, либо другие терцовые соотношения тональностей.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В экспозиции нет значительных контрастов, более контрастна разработка - второй большой раздел формы. В ней происходит развитие тем в условиях тональной и гармонической неустойчивости. В самом ее начале, при отклонении в параллельный минор музыка приобретает оттенок серьезности, раздумья.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Постоянная неустойчивость ― главное свойство разработки.  Неустойчивость выражается в гармоническом строении, в нашей сонате это - проведение тем  сначала главной партии в соль-мажоре,затем в ля-миноре, потом появление  и секвенционное проведение темы побочной партии и тема заключительной партии, приводящая к репризе.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Так как разработка самый неустойчивый раздел формы, она наименее регламентирована. В зрелой сонатной форме  разработка каждого произведения индивидуальна, каждый раз она выстраивается в соответствии со свойствами материала экспозиции и общей идеей произведения.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Как и другие развивающие разделы формы, разработка имеет три этапа - вступительный (пребывание в тональности), собственно развивающий (модуляции в разные тональности) и та или иная подготовка тональности репризы.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Реприза - третий крупный раздел формы. В целом она повторяет экспозицию, но обязательным является перенос побочной партии в главную (или одноимённую ей) тональность, гораздо реже в другую тональность. При этом побочная партия в репризе никогда не звучит в той же тональности, в какой она звучала в экспозиции. Это уничтожило бы «идею» сонатной формы, так как в таком случае развитие не имело бы результата.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Реприза снимает или ослабляет конфликт и завершает форму. Это достигается путём её тонального объединения: реприза начинается и заканчивается в основной тональности. Благодаря этому, реприза обычно менее динамична, чем все другие разделы (хотя возможны исключения).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Важно научить ребенка находить разделы крупной формы и понимать и исполнять побочную и заключительную партии в доминантовой тональности (в экспозиции) и в основной (в репризе).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Классические сонаты знакомят учащихся с особенностями музыкального языка периода классицизма, воспитывают чувство классической формы, ритмическую устойчивость исполнения. Благодаря исключительной лаконичности фортепианной  "инструментовки", малейшая неточность звукоизвлечения, невнимание к штрихам, передерживание или недодерживание отдельных звуков при исполнении этих произведений становятся особенно заметными и нетерпимыми.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Необходимо приучать учащихся при исполнении классических сонат, всегда очень отчетливо ощущать сильные доли такта, особенно важно это в затактовых построениях (как в рассматриваемой сонате); и при синкопах, потому что без ощущения постоянных центров тяготения мотивов к сильной доли в этих случаях происходит как бы смещение тактовой черты и смысл музыки искажается. Помочь ребенку яснее ощутить затакт и сильную долю, а также лучше понять структуру "вопрос - ответ" -  может подтекстовка, например "Какой сегодня день, милый мой дружок, Юленька? - Я не помню, но вроде вторник".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Педаль в классических сонатах используется относительно мало, в основном на сильную долю такта. А  А. Рубинштейн советовал исполнять Гайдна с использованием левой педали.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Суть Гайдновского искусства очень точно передает история,  сообщенная И. Эльслером в письме к биографу Гайдна Гризингеру: " 10 мая 1809 года наполеоновские войска, осадившие Вену, начали бомбардировку города. Один снаряд  упал неподалеку от дома Гайдна. Перепуганные слуги вбежали к нему в комнату. Привстав с кресла, престарелый маэстро уверенно произнес: "Не бойтесь, дети, там где Гайдн, не может случиться ничего плохого".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Природный оптимизм, душевное здоровье, неистощимый юмор,</w:t>
      </w:r>
      <w:r>
        <w:rPr>
          <w:rFonts w:ascii="Cambria" w:hAnsi="Cambria" w:eastAsia="Cambria" w:cs="Cambria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default" w:ascii="Cambria" w:hAnsi="Cambria" w:eastAsia="Cambria" w:cs="Cambria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простодушное лукавство свойственно творчеству композитора.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mbria" w:hAnsi="Cambria" w:eastAsia="Cambria" w:cs="Cambria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22 сентября 1802 года в письме,как бы подводящем итог деятельности, Гайдн писал: « Часто, когда я боролся с препятствиями разного рода, возникавшими на пути моих трудов, когда я ощущал упадок сил моего духа и тела, и мне становилось тяжело удерживаться на избранном поприще- тайное чувство шептало мне: «В этом мире так мало довольных и счастливых людей, везде их преследуют заботы и гое; быть может, твоя работа послужит иногда источником из которого обремененный заботой или усталый от дел человек будет черпать отдохновение и бодрость». Это служило мне мощным побудительным средством, заставлявшим стремиться вперед и это же является причиной того, что я теперь с радостным одушевлением оглядываюсь на работу, в течение столь долгой вереницы лет с неотступным усердием и усилием производившуюся мною для музыкального искусства.»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Это письмо, характеризующее творчество Гайдна, приводят в своих работах многие исследователи гайдновского наследия.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Музыка Гайдна - это мягкий свет, ясность контуров и легкость конструкции . Изучая сонаты Гайдна в музыкальной школе, мы знакомим ученика с общим характером звучности, используемой в произведениях ранних венских классиков, тесно связанной с квартетно-оркестровым письмом. Стиль - ясный, прозрачный. В изложении господствуют характерные формы гомофонной фактуры. Фактура строго дифференцирована по планам. Мелодический материал поручен исключительно правой руке, а в партии левой руки используются традиционные формулы аккомпанемента,  выработанные итальянской инструментальной школой: альбертиевы басы, мерно пульсирующие восьмые, мерные шаги четвертей.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Важным качеством тематизма Гайдна становится "цепляемость" элементов темы, их прочная сопряженность, логическая взаимосвязь, чеканная логика последовательных элементов. В этом взаимодействии главную роль играет гармония. Возникновение тем "тезис-антитезис", "вопрос-ответ", "зерно-развитие-результат", "тезис-антитезис-синтез" тоже необходимо связать с именем Гайдна. В его темах можно обнаружить и контрастное противопоставление тематически различных элементов, и выведение противоположного начала из единого путем гармонических смешений, сопоставлений типа Т-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/>
        </w:rPr>
        <w:t>D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; 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/>
        </w:rPr>
        <w:t>D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-Т, и контрастирование тематических элементов с синтезом их в заключительном  разделе всего построения.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Йозеф Гайдн (1739-1809) свои фортепианные сонаты сочинял на протяжении всей жизни -  с ранней юности до глубокой старости. В первых сонатах он продолжил линию австрийской национальной клавирной школы (образцом  служили «Партиты» и «Дивертисменты» венского композитора  Г.К.Вагензейля).  В более зрелых сонатах  современники усматривали  черты, близкие стилю Ф. Э. Баха. Многое воспринял  Гайдн  у В. Моцарта, особенно  в отношении обогащения  мелодики и совершенства формы. .  Долгое время считалось, что Гайдном написано 52 сонаты (  столько значится в каталоге Антони Ван Хобокена, музыковеда,  известного составителя полного каталога произведений Гайдна), но в 1963 году под редакцией Кристи Лэндон было издано собрание, содержащее 62 сонаты и это число музыковеды не решаются назвать окончательным, возможно, будут обнаружены и другие.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Соната 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/>
        </w:rPr>
        <w:t>C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-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/>
        </w:rPr>
        <w:t>dur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(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/>
        </w:rPr>
        <w:t>HOB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. 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/>
        </w:rPr>
        <w:t>XVI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№ 10) сочинена ранее 1767 года. В первых изданиях носила название "Дивертисмент для клавичембало". Мотив главной партии 1 части очень близок началу Гайдновской композиции без названия для 2-х скрипок, флейты, 2-х валторн, альта и баса. Эту информацию мы читаем в советском издании избранных сонат Гайдна под редакцией Леонида Ройзмана. Нам известно, что клавичембало- итальянское название клавесина, инструмента, с щипковой механикой. Значит при исполнении этой сонаты, как прочем и исполнение всего Гайдна, звук не должен быть излишне глубоким, даже легато не требует излишней сочности, технические пассажи и украшения должны исполняться легким прозрачным звуком, иногда в тончайшем 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/>
        </w:rPr>
        <w:t>leggiero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. Довольно значительное место в мелодической линии занимают мелизмы- трели, форшлаги, группетто, морденты.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Гайдн не оставил нам расшифровки своих украшений.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Трель, почти все современные венским классикам руководства, вплоть до фортепианной школы Гуммеля (1828), предписывали исполнять с верхней вспомогательной ноты. После Гуммеля в теории устанавливается современный способ расшифровки трели- с главной ноты. Трудно предположить, что гуммелевский принцип исполнения этих украшений получил так быстро повсеместное распространение, если бы не был подготовлен практикой, Поэтому при расшифровке трели у венских классиков представляется отнюдь не обязательным во всех случаях придерживаться догматически старинного правила исполнения. В редакциях  сонат Гайдна Л. Ройзмана и Мартинсена трели расшифровываются с основной ноты, в этом случае возникает полиритмия между руками ( три на два) и учащиеся не всегда могут справиться с этой проблемой. Поэтому долгие трели, особенно в каденционных оборотах, лучше исполнять с верхнего вспомогательного звука.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Форшлаги у Гайдна встречаются короткие и долгие. При расшифровке форшлагов, следует помнить, что венские классики широко употребляли условный вид записи этих украшений.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jc w:val="both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Внутреннюю ценность сонатам Гайдна всегда придает неисчерпаемое богатство идей и стремление к совершенствованию формы. Благодаря этому  Гайдн приходит к смелым и неожиданным оборотам в фактуре, к резкой смене высокого и низкого регистров, к внезапным контрастам в звучании, которые в противовес более отточенной моцартовской фортепианной фактуре, и придают его сонатам зачастую более независимый, свободный, капризный и изменчивый характер.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120" w:afterAutospacing="0" w:line="15" w:lineRule="atLeast"/>
        <w:ind w:left="435"/>
        <w:rPr>
          <w:sz w:val="32"/>
          <w:szCs w:val="32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 </w:t>
      </w:r>
      <w:r>
        <w:rPr>
          <w:rFonts w:hint="default" w:ascii="Arial CYR" w:hAnsi="Arial CYR" w:eastAsia="Arial CYR" w:cs="Arial CYR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   СПИСОК ИСПОЛЬЗОВАННОЙ ЛИТЕРАТУРЫ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rPr>
          <w:sz w:val="32"/>
          <w:szCs w:val="32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ind w:left="720"/>
        <w:rPr>
          <w:sz w:val="32"/>
          <w:szCs w:val="32"/>
        </w:rPr>
      </w:pPr>
      <w:r>
        <w:rPr>
          <w:rFonts w:hint="default" w:ascii="Arial CYR" w:hAnsi="Arial CYR" w:eastAsia="Arial CYR" w:cs="Arial CYR"/>
          <w:i w:val="0"/>
          <w:caps w:val="0"/>
          <w:color w:val="333333"/>
          <w:spacing w:val="0"/>
          <w:sz w:val="32"/>
          <w:szCs w:val="32"/>
          <w:shd w:val="clear" w:fill="FFFFFF"/>
        </w:rPr>
        <w:t> 1.  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Л. Ройзман. Вступительная статья к изданию избранных сонат Й. Гайдна Музгиз 1961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ind w:left="720"/>
        <w:rPr>
          <w:sz w:val="32"/>
          <w:szCs w:val="32"/>
        </w:rPr>
      </w:pPr>
      <w:r>
        <w:rPr>
          <w:rFonts w:hint="default" w:ascii="Arial CYR" w:hAnsi="Arial CYR" w:eastAsia="Arial CYR" w:cs="Arial CYR"/>
          <w:i w:val="0"/>
          <w:caps w:val="0"/>
          <w:color w:val="333333"/>
          <w:spacing w:val="0"/>
          <w:sz w:val="32"/>
          <w:szCs w:val="32"/>
          <w:shd w:val="clear" w:fill="FFFFFF"/>
        </w:rPr>
        <w:t> 2.  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А. Алексеев История фортепианного искусства М. Музыка 1988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ind w:left="720"/>
        <w:rPr>
          <w:sz w:val="32"/>
          <w:szCs w:val="32"/>
        </w:rPr>
      </w:pPr>
      <w:r>
        <w:rPr>
          <w:rFonts w:hint="default" w:ascii="Arial CYR" w:hAnsi="Arial CYR" w:eastAsia="Arial CYR" w:cs="Arial CYR"/>
          <w:i w:val="0"/>
          <w:caps w:val="0"/>
          <w:color w:val="333333"/>
          <w:spacing w:val="0"/>
          <w:sz w:val="32"/>
          <w:szCs w:val="32"/>
          <w:shd w:val="clear" w:fill="FFFFFF"/>
        </w:rPr>
        <w:t> 3.  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А, Алексеев Методика обучения игре на фортепиано М. Музыка 1978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ind w:left="720"/>
        <w:rPr>
          <w:sz w:val="32"/>
          <w:szCs w:val="32"/>
        </w:rPr>
      </w:pPr>
      <w:r>
        <w:rPr>
          <w:rFonts w:hint="default" w:ascii="Arial CYR" w:hAnsi="Arial CYR" w:eastAsia="Arial CYR" w:cs="Arial CYR"/>
          <w:i w:val="0"/>
          <w:caps w:val="0"/>
          <w:color w:val="333333"/>
          <w:spacing w:val="0"/>
          <w:sz w:val="32"/>
          <w:szCs w:val="32"/>
          <w:shd w:val="clear" w:fill="FFFFFF"/>
        </w:rPr>
        <w:t> 4.  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Мария Баринова  Очерки по методике игры на фортепиано 1926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ind w:left="720"/>
        <w:rPr>
          <w:sz w:val="32"/>
          <w:szCs w:val="32"/>
        </w:rPr>
      </w:pPr>
      <w:r>
        <w:rPr>
          <w:rFonts w:hint="default" w:ascii="Arial CYR" w:hAnsi="Arial CYR" w:eastAsia="Arial CYR" w:cs="Arial CYR"/>
          <w:i w:val="0"/>
          <w:caps w:val="0"/>
          <w:color w:val="333333"/>
          <w:spacing w:val="0"/>
          <w:sz w:val="32"/>
          <w:szCs w:val="32"/>
          <w:shd w:val="clear" w:fill="FFFFFF"/>
        </w:rPr>
        <w:t> 5.  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Б. Асафьев О симфонической и камерной музыке Л.1981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ind w:left="720"/>
        <w:rPr>
          <w:sz w:val="32"/>
          <w:szCs w:val="32"/>
        </w:rPr>
      </w:pPr>
      <w:r>
        <w:rPr>
          <w:rFonts w:hint="default" w:ascii="Arial CYR" w:hAnsi="Arial CYR" w:eastAsia="Arial CYR" w:cs="Arial CYR"/>
          <w:i w:val="0"/>
          <w:caps w:val="0"/>
          <w:color w:val="333333"/>
          <w:spacing w:val="0"/>
          <w:sz w:val="32"/>
          <w:szCs w:val="32"/>
          <w:shd w:val="clear" w:fill="FFFFFF"/>
        </w:rPr>
        <w:t> 6.  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Я. Мильштейн Стилистические особенности исполнения сочинений Гайдна</w:t>
      </w:r>
    </w:p>
    <w:p>
      <w:pPr>
        <w:pStyle w:val="3"/>
        <w:keepNext w:val="0"/>
        <w:keepLines w:val="0"/>
        <w:widowControl/>
        <w:suppressLineNumbers w:val="0"/>
        <w:spacing w:after="120" w:afterAutospacing="0" w:line="15" w:lineRule="atLeast"/>
        <w:ind w:left="720"/>
        <w:rPr>
          <w:sz w:val="32"/>
          <w:szCs w:val="32"/>
        </w:rPr>
      </w:pPr>
      <w:r>
        <w:rPr>
          <w:rFonts w:hint="default" w:ascii="Arial CYR" w:hAnsi="Arial CYR" w:eastAsia="Arial CYR" w:cs="Arial CYR"/>
          <w:i w:val="0"/>
          <w:caps w:val="0"/>
          <w:color w:val="333333"/>
          <w:spacing w:val="0"/>
          <w:sz w:val="32"/>
          <w:szCs w:val="32"/>
          <w:shd w:val="clear" w:fill="FFFFFF"/>
        </w:rPr>
        <w:t> 7.  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Пауль  Бадура-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Ш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кода К вопросу об орнаментике Гайдна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5" w:lineRule="atLeast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7180A"/>
    <w:rsid w:val="3DD7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2020-06-15T17:16:00Z</dcterms:created>
  <dc:creator>natalya-kryuchkova</dc:creator>
  <cp:lastModifiedBy>natalya-kryuchkova</cp:lastModifiedBy>
  <dcterms:modified xsi:type="dcterms:W3CDTF">2020-06-15T17:29:45Z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