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7F" w:rsidRPr="00917D7F" w:rsidRDefault="00917D7F" w:rsidP="00917D7F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917D7F">
        <w:rPr>
          <w:rFonts w:ascii="Helvetica" w:eastAsia="Times New Roman" w:hAnsi="Helvetica" w:cs="Times New Roman"/>
          <w:kern w:val="36"/>
          <w:sz w:val="28"/>
          <w:szCs w:val="28"/>
          <w:lang w:eastAsia="ru-RU"/>
        </w:rPr>
        <w:t>Применение личностно ориентированных технологий образования на уроках истории и обществознания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Личностно-ориентированное образование является ведущим в организации учебно-воспитательного процесса, суть его в том, что в школу приходят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не просто ученики, а ученики –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личности со своим миром чувств и переживаний. Это и следует в первую очередь учитывать педагогу в своей работе. Он должен   знать и использовать такие приемы, в которых каждый ученик чувствует себя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личностью,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ощущает внимание учи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теля к нему, он уважаем, никто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может его оскорбить. Только коллектив педагогов-единомышленников способен связать воедино личность, личностные качества, личностное развитие и саморазвитие ребенка.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Эффективность индивидуальной работы зависит от педагогического профессионализма и мастерства педагога-воспитателя, его способности изучать личность и помнить при этом о том, что она всегда индивидуальна, с неповторимым сочетанием умственных, физических и психологических особенностей, присущих только конкретному человеку и отличающих его от других людей. Учитывая их, учитель, определяет методы и формы воздействия на личность каждого ребенка.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 последние годы произошли весьма серьезные изменения в содержании исторического образования. В учебники теперь включены новые факты, нормой стало изучение различных интерпретаций событий и явлений, версий и гипотез. Поэтому задача школы на современном этапе состоит не в простой передаче определенной суммы, а в обучении способам самостоятельного овладения ими, фор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мировании ключевых компетенций.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требует от учителя поиска новых, эффективны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х методов преподавания, с целью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повышения познавательной активности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учащихся на уроке, наполнения процесса обучения личностным смыслом. Сведение обучения к усвоению определенной суммы знаний и умений снижает ценность процесса познания, не позволяет в полной мере реализовать возможности его влияния на личность.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В.В.Давыдов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указывал, что «если предметом усвоения становятся теоретические знания, то результатом познания непременно должно явиться изменение самого ученика, его развитие, овладение новыми способами ориентации в действительности, новыми способами действия, а, значит, и становление новых способностей», т.е. его личностное развитие. Все это требует изменения подходов к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образовательному процессу. [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Задачи, стоящие перед современным образованием, можно решить, обратившись к личностно-ориентированной педагогике (Е.В.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Бондаревская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В.В. Сериков, И.Б. Котова, Е.Н.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Шиянов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О.В.Заславская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С.В.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Кульневич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В.В.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Шоган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). Именно она позволяет обеспечить и поддержать процессы самопознания,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самостроительства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самореализации личности ребенка, развития его неповторимой индивидуальности, становления ключевых компетенций. Это связано с тем, что основными принципами личностно-ориентированного преподавания являются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природосообразность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культуросообразность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индивидуально-творческий подход, жизнет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ворчество и сотрудничество. [6]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Основной целью преподавания гуманитарных и общественных предметов в школе сегодня является выработка у учащихся собственной позиции по отношению к вопросам власти, личной свободы, гражданской ответственности и законности. Они должны помочь обучающимся научиться применять полученные знания при столкновении с проблемами современного общества, с различными общественно-политическими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вопросами.[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4]  Применение технологий личностно-ориентированного обучения на уроках истории и обществознания должно помочь развитию у  обучающихся  активной жизненной позиции, приобретению способностей  коллективной работы по достижению общих целей, оценивать ситуацию, принимать решение в спор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ных вопросах  и отстаивать его.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Личностно-ориентированное обучение предполагает активное участие учеников в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образовательном  процессе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основанном на самоорганизации. В результате у школьников происходит формирование и развитие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способностей  переосмысливать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содержание знаний, возникает личностное отношение к ним, способность к творчеству. Развиваются такие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личностные  качества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как активность, ответственность, самоконтроль, самодисциплина, умение делать выбор, давать оценку фактам и событиям, уважать чужое мнение, толерантность к окружающим. Все это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помогает ребенку обрести ценности и смыслы жизни, осуществляет его развитие как человека культуры и целостной личности, поддерживает его индивидуальность и творческую самобытность.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Личностно-ориентированное содержание требует для своей реализации адекватных педагогических технологий. Их характерные черты: сотрудничество, диалогичность, творчество, направленность на поддержку индивидуального развития ребенка, предоставление ему необходимого пространства, свободы для принятия самостоятельного решения, выбора содержания и способов учения, сотворчества учителя и учащихся. В связи с этим важнейшими составляющими технологий личностно-ориентированного обучения являются: дискуссия, педагогическая поддержка,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рефлексивность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создание ситуации выбора и успеха, диагностические, системное моделирование, проектировочна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я и творческая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деятельность.[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5]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Дискуссионность содержания образования формирует понимание проблемной неоднозначности выдвигаемых положений. При организации дискуссии или дебатов особое значение необходимо придавать условиям её проведения, созданию некоторой среды, ставящей учащихся в позицию экспертов, дающей возможность для оценивания, сравнения, критичности, мотивирования, самоутверждения, самореализации и т.д. Основой дискуссии является создание проблемной ситуации. В ходе дискуссии или дебатов участники учатся не только воспринимать высказываемые идеи, информацию, мнения, но и уважительно относиться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 точке зрения других людей.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Кроме того, можно добиться успехов в развитии индивидуальных способностей учащихся, внедряя диалогические формы общения учеников и учителя. Ведь диалог – это не фронтальный опрос, а совместное с учителем обсуждение проблемы. Диалог можно использовать на каждом этапе урока с целью активизации деятельности учащихся. Это может быть: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учебный диалог с элементами самосто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ятельного анализа источников;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решение нравственных проблем на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базе исторических материалов;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установление исторических параллелей (о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бсуждение проблем в группах); разыгрывание оценок; ролевые игры;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атрализованное представление; деловые игры;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сопоставление разли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чных точек зрения на события;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изуч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ение дополнительной литературы.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Осуществление диалога учителя и обучающихся на уроке становится одним из ключевых условий личностно-ориентированных технологий образования, создания комфортной образовательной среды,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воспитания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учащихся в духе толерантности. Ведь диалогическая направленность в общении – это, прежде всего, ориентация на равноправное общение, основанное на взаимном уважении и доверии, ориентация на взаимопонимание позиций, взаимную открытость и коммуникативное сотрудничество, стремление к взаимному самовыр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ажению, развитию, сотворчеству.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этом необходимо уйти от традиционного диалога, построенного на вопросе учителя и ответе ученика. Необходимо строить вопрос так, чтобы ученик свободно мог высказ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ать свое мнение (Как вы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думаете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?,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Каково ваше мнение…? и т.п.). Не спешить оценивать правильность ответа, а дать возможность высказать свои предположения другим учащимся. В результате в процессе дискуссии школьники совместно с учителем смогут найти ответ. Причем учитель, не навязывая своего мнения как единственно правильного, должен направлять мыслительную деятельность учащихся. Именно тогда приобретаемые знания будут осмыслены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наполнены личностным смыслом.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этом случае дискуссия или дебаты на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уроке: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это доброжелательная, комфортная обстановка, когда ученику не страшно высказать свое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мнение, когда он не получит негативную оценку собственной личности или поведения;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– это поощрение активности того, кто задает вопрос, высказывает собственное мнение. Любое мнение не должно быть проигнорировано, все должны вникнуть и обсудить то, о чем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говорится;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это спор, защита собственной позиции, прояснение того, что не понятно, попытка докопаться до истины;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это совместный творческий поиск, когда все вместе пытаются решить учебную проблему или задачу;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это возможность для учеников проявить и сформировать собственную позицию, проявления ценнос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тно-ориентировочной активности.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Таким образом, при создании условий для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самоорганизуемой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учебной деятельности учащихся важную роль играет педагогическая поддержка. Она реализуется через специально организованную деятельность учителя, помогающего ученику самостоятельно осознать содержание учебного материала. И здесь важную роль играет обучение школьников способностям работы с учебным материалом, историческим или обществоведческим текстом, умению анализировать, сопоставлять, делать выводы. Исторические и обществоведческие понятия не должны усваиваться как готовые знания, необходимо, чтобы они возникали в сознании обучающихся в результате логического выведения и построения. В этом случае достигаемые результаты усвоения являются продуктом собственной познавательной деятельности, органи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зуемой и управляемой педагогом.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Активизировать познавательную деятельность учащихся помогает создание на уроке проблемной ситуации. Процесс проблемного обучения складывается из двух необходимых этапов: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постановки практического или теоретического задания, вызывающего проблемную ситуацию;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• поиска неизвестного в ней путем самостоятельного исследования ученика, либо совместно с учителем.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В результате процесс усвоения начинается не с предъявления учащимся известного образца, а с создания учителем таких условий учебной деятельности, которые вызывают потребность в усваиваемых знаниях, а само знание выступает как неизвестное, подлежащее усвоению. В этом случае поиск неизвестного в проблемной ситуации совпадает с процессом усвоения новых знаний. Учитель же, помогая ученику постигать общие способы ориентации в исторической и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современной  действительности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тем самым способствует развитию его мышления, становлению его личности.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Причем обеспечить необходимое развитие может оптимальная последовательность проблемных ситуаций, служащих усвоению новых знаний, их определенная система. При этом между ближайшими проблемными 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ситуациями может стоять достаточно сложная система иных знаний, предполагающих проблемное усвоение необходимых учебных сведений, выполнение заданий, служащ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их для развития учащихся и т.п.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Последовательные проблемные ситуации в этом случае представляют собой основные звенья в становлении нового действия, в которых раскрываются новые отношения и условия, обеспечивающие более высокий уровень познавательн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ой деятельности школьников. [6]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Важным моментом в формировании способности добывать необходимую информацию играет обучение учащихся правилам написания работ научного характера (исследований, рефератов, отчетов о проделанной работе), использование метода проектирования. Создание проектов, научно-исследовательская деятельность предоставляет обучающимся максимальные возможности для самостоятельного изыскания и присвоения информации, для стимулирования способностей самостоятельного оперирования полученным материалом. При этом дети получают возможность осваивать продуктивные пр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иемы мыслительной деятельности.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Проектная деятельность стимулирует самообучение и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взаимообучение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развитие коммуникативных навыков, а также личностных качеств – познавательную инициативность, поисковую активность, творческие способности, самостоятельность, деловое лидерство.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Осуществление проекта происходит поэтапно: движение идет от замысла к результату, а завершение проекта, обсуждение итогов работы, возможность продемонстрировать его другим людям дает ребенку чувство осмысленности и оправданности усилий. [1]  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 тому же коллективная работа над проектом избавляет учащихся от неприятного ощущения подконтрольности, создает чувство свободы, снимает интеллектуальные страхи, способствует возникновению внутренней мотивации.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Хотелось бы, чтобы история и обществознание заставляли детей думать, творить, мечтать, созидать, чувствовать. Для того чтобы обучающиеся могли почувствовать данные предметы,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они  должны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пропустить полученные знания через себя, свои чувства и представления, создать свой образ видения исторического события или современного общественного явления, процесса. Решению этой задачи способствует использование творческих заданий, игровое моделирование, которые помогают наполнить знания детей эмоциона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льным, личностным содержанием. 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Занятия с учащимися имеют различные формы и виды. Это могут быть уроки, консультации, зачеты, семинары и конференции, учебные экскурсии. Выбирая тип урока, учитель руководствуется местом этого урока в теме, его задачами, особенностями содержания нового материала, педагогическим замыслом, возрастом учащихся, их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способностями.[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4] Тип урока также зависит от имеющихся в школе средств обучения, подготовленности учителя и других факторов.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Многообразие форм проведения урока – одно из условий развития у обучающихся интереса к   предмет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у, повышения качества обучения.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Форма урока – понятие, отражающее основной способ подачи материала. Из традиционных форм учебных занятий особой популярностью пользуются лабораторные работы и практикумы. Лабораторное занятие – это такая форма урока, когда учащиеся должны работать с документами. В итоге лабораторной работы должен быть получен определенный результат. Иная форма – практическое занятие. Главное на нем – выполнение практических работ. Например, работа с контурными картами. [2] К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нетрадиционным  относятся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игровые, дискуссионные, оценочные уроки.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Система новых типов личностно-ориентированных уроков возникает как некоторая совокупность образовательных условий, которые нацелены на пробуждающиеся тенденции детского сознания в форме конструктов, моделей, смысловых переживаний и проектов.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Путь личностно-ориентированной технологии урока состоит в том, чтобы в предметном мире ребенок мог реализовать свое внут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реннее «Я».</w:t>
      </w:r>
    </w:p>
    <w:p w:rsid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Личностно-ориентированные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технологии  предлагают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обращение к культурно-историческим и к современным общественным явлениям, процессам на уроках истории и обществознания через такие уроки как, например: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1) урок-образ, создающий условия, в которых личностный опыт детей очищается от бытовых нагромождений и восходит на уровень символов и знаков явлений истории, общества и культуры. Это первый этап каждой новой темы. Главная его цель – создать у учащегося впечатление-образ тех знаний, которые ему необходимо будет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усвоить.[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3]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2) урок логического мышления, создающий условия для восхождения от тенденций детского логического опыта к «чистым» формам мышления. В процессе урока должен пробуждаться эвристический интерес, охватывающий все сознание обучающегося. В технологии личностно-ориентированного урока понятие мышления и логики приобретает качественно иной характер. Это объясняется тем, что урок логического мышления о закономерностях развития всех сфер общества, исторических событий понимается как условие открытия и переживания «чистых» состояний мышления детей. Урок завершается возвратом и разрешением проблемной задачи урока, приводящими сознание ребенка в устойчивое состояние «понимания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».[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5]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3) урок настроения имеет своей целью создание условий для пробуждения некоторой совокупности переживаний, что и представляет собой настроение. Урок настроения – это,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прежде  всего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особая атмосфера исторических эпох, современных процессов и явлений, литературных  произведений, географических ландшафтов, музеев, культуры. Это цвет и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свет  разных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эпох и  современности.</w:t>
      </w:r>
    </w:p>
    <w:p w:rsidR="00917D7F" w:rsidRPr="00917D7F" w:rsidRDefault="00917D7F" w:rsidP="00917D7F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результате применения в образовательном процессе личностно-ориентированных технологий обучающиеся получают возможность запоминать в процессе размышления. Ситуации выбора, принятия решения создают условия для продуктивной и ответственной познавательной деятельности, в которой учащиеся не только открывают нечто новое для себя, но и создают это новое, творят его. При этом у ребенка формируется сознательная творческая позиция.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917D7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Список использованной литературы.</w:t>
      </w:r>
    </w:p>
    <w:p w:rsidR="00917D7F" w:rsidRPr="00917D7F" w:rsidRDefault="00917D7F" w:rsidP="00917D7F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1. </w:t>
      </w:r>
      <w:proofErr w:type="spellStart"/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Бондаревская</w:t>
      </w:r>
      <w:proofErr w:type="spellEnd"/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Е. В. 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Учителю о личностно-ориентированном </w:t>
      </w:r>
      <w:proofErr w:type="gram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образовании.–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Ростов-на-Дону, «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Ростиздат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», 2006.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2. </w:t>
      </w:r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Гора П. В. 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Повышение эффективности обучения истории в средней школе.– </w:t>
      </w:r>
      <w:proofErr w:type="spellStart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М.,«Просвещение</w:t>
      </w:r>
      <w:proofErr w:type="spell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», 1988.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3. </w:t>
      </w:r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Лаврентьев В. В.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Требования к уроку как основной форме организации учебного процесса в условиях личностно-ориентированного обучения. // Завуч. – 2005. – №1.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4. </w:t>
      </w:r>
      <w:proofErr w:type="spellStart"/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Шоган</w:t>
      </w:r>
      <w:proofErr w:type="spellEnd"/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В. В. 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изучать историю. – Ростов-на-Дону, 2007.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5. </w:t>
      </w:r>
      <w:proofErr w:type="spellStart"/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Шоган</w:t>
      </w:r>
      <w:proofErr w:type="spellEnd"/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, В. В.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Технология личностно-ориентированного урока. – Ростов-на-Дону, «Учитель», 2003.</w:t>
      </w:r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6. </w:t>
      </w:r>
      <w:proofErr w:type="spellStart"/>
      <w:proofErr w:type="gramStart"/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Якиманская</w:t>
      </w:r>
      <w:proofErr w:type="spellEnd"/>
      <w:r w:rsidRPr="00917D7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 И.С.</w:t>
      </w:r>
      <w:proofErr w:type="gramEnd"/>
      <w:r w:rsidRPr="00917D7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Технология личностно-ориентированного обучения в современной школе.– М., «Сентябрь», 2003.</w:t>
      </w:r>
    </w:p>
    <w:p w:rsidR="00AA36C5" w:rsidRDefault="00AA36C5"/>
    <w:sectPr w:rsidR="00AA36C5" w:rsidSect="00917D7F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11CFD"/>
    <w:multiLevelType w:val="multilevel"/>
    <w:tmpl w:val="BFAA59B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7F"/>
    <w:rsid w:val="00917D7F"/>
    <w:rsid w:val="00A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DF3F-7382-42CA-B0A4-20AD925A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2452</Words>
  <Characters>13980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Росчинская</dc:creator>
  <cp:keywords/>
  <dc:description/>
  <cp:lastModifiedBy>Антонина Росчинская</cp:lastModifiedBy>
  <cp:revision>1</cp:revision>
  <dcterms:created xsi:type="dcterms:W3CDTF">2019-10-22T00:07:00Z</dcterms:created>
  <dcterms:modified xsi:type="dcterms:W3CDTF">2019-10-22T00:14:00Z</dcterms:modified>
</cp:coreProperties>
</file>