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181818"/>
          <w:spacing w:val="0"/>
          <w:sz w:val="24"/>
          <w:shd w:fill="FFFFFF" w:val="clear"/>
        </w:rPr>
        <w:t>Муниципальное бюджетное образовательное учреждение города Ростова-на-Дону ”Детский сад №33”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highlight w:val="white"/>
        </w:rPr>
      </w:pPr>
      <w:r>
        <w:rPr>
          <w:rFonts w:eastAsia="Calibri" w:cs="Calibri"/>
          <w:color w:val="auto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highlight w:val="white"/>
        </w:rPr>
      </w:pPr>
      <w:r>
        <w:rPr>
          <w:rFonts w:eastAsia="Calibri" w:cs="Calibri"/>
          <w:color w:val="auto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highlight w:val="white"/>
        </w:rPr>
      </w:pPr>
      <w:r>
        <w:rPr>
          <w:rFonts w:eastAsia="Calibri" w:cs="Calibri"/>
          <w:color w:val="auto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highlight w:val="white"/>
        </w:rPr>
      </w:pPr>
      <w:r>
        <w:rPr>
          <w:rFonts w:eastAsia="Calibri" w:cs="Calibri"/>
          <w:color w:val="auto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FFFFFF" w:val="clear"/>
        </w:rPr>
      </w:r>
    </w:p>
    <w:p>
      <w:pPr>
        <w:pStyle w:val="Normal"/>
        <w:suppressAutoHyphens w:val="true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36"/>
          <w:shd w:fill="FFFFFF" w:val="clear"/>
        </w:rPr>
        <w:t>Авторская методическая разработка</w:t>
      </w:r>
    </w:p>
    <w:p>
      <w:pPr>
        <w:pStyle w:val="Normal"/>
        <w:suppressAutoHyphens w:val="true"/>
        <w:spacing w:lineRule="auto" w:line="276" w:before="0" w:after="2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32"/>
          <w:shd w:fill="FFFFFF" w:val="clear"/>
        </w:rPr>
        <w:t>Воспитателя МБДОУ №33 Бакланцевой Ольги Викторовны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FFFFFF" w:val="clear"/>
        </w:rPr>
        <w:t>«Пальчиковые игры, как основа развития речи у детей раннего возраста»</w:t>
      </w:r>
    </w:p>
    <w:p>
      <w:pPr>
        <w:pStyle w:val="Normal"/>
        <w:suppressAutoHyphens w:val="true"/>
        <w:spacing w:lineRule="exact" w:line="240" w:before="0" w:after="20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3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3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32"/>
          <w:highlight w:val="white"/>
        </w:rPr>
      </w:pPr>
      <w:r>
        <w:rPr>
          <w:rFonts w:eastAsia="Calibri" w:cs="Calibri"/>
          <w:color w:val="auto"/>
          <w:spacing w:val="0"/>
          <w:sz w:val="32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4956" w:right="0" w:firstLine="708"/>
        <w:jc w:val="left"/>
        <w:rPr>
          <w:rFonts w:ascii="Calibri" w:hAnsi="Calibri" w:eastAsia="Calibri" w:cs="Calibri"/>
          <w:color w:val="auto"/>
          <w:spacing w:val="0"/>
          <w:sz w:val="24"/>
          <w:highlight w:val="white"/>
        </w:rPr>
      </w:pPr>
      <w:r>
        <w:rPr>
          <w:rFonts w:eastAsia="Calibri" w:cs="Calibri"/>
          <w:color w:val="auto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center"/>
        <w:rPr/>
      </w:pPr>
      <w:r>
        <w:rPr>
          <w:rFonts w:eastAsia="Calibri" w:cs="Calibri"/>
          <w:color w:val="auto"/>
          <w:spacing w:val="0"/>
          <w:sz w:val="24"/>
          <w:shd w:fill="FFFFFF" w:val="clear"/>
        </w:rPr>
        <w:t xml:space="preserve">    </w:t>
      </w:r>
      <w:r>
        <w:rPr>
          <w:rFonts w:eastAsia="Calibri" w:cs="Calibri"/>
          <w:color w:val="auto"/>
          <w:spacing w:val="0"/>
          <w:sz w:val="24"/>
          <w:shd w:fill="FFFFFF" w:val="clear"/>
        </w:rPr>
        <w:t>г.Ростов-на-Дону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center"/>
        <w:rPr>
          <w:b w:val="false"/>
          <w:b w:val="false"/>
          <w:bCs w:val="false"/>
        </w:rPr>
      </w:pPr>
      <w:r>
        <w:rPr>
          <w:rFonts w:eastAsia="Calibri" w:cs="Calibri"/>
          <w:b w:val="false"/>
          <w:bCs w:val="false"/>
          <w:color w:val="000000"/>
          <w:spacing w:val="0"/>
          <w:sz w:val="24"/>
          <w:shd w:fill="FFFFFF" w:val="clear"/>
        </w:rPr>
        <w:t>2024г</w:t>
      </w:r>
    </w:p>
    <w:p>
      <w:pPr>
        <w:pStyle w:val="Normal"/>
        <w:widowControl w:val="false"/>
        <w:spacing w:lineRule="exact" w:line="360" w:before="0" w:after="150"/>
        <w:ind w:left="0" w:right="0" w:firstLine="708"/>
        <w:jc w:val="center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8"/>
          <w:shd w:fill="FFFFFF" w:val="clear"/>
        </w:rPr>
        <w:t xml:space="preserve">Методическая разработка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«</w:t>
      </w: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8"/>
          <w:shd w:fill="FFFFFF" w:val="clear"/>
        </w:rPr>
        <w:t>Пальчиковые игры, как основа развития речи у детей раннего возраста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»</w:t>
      </w:r>
    </w:p>
    <w:p>
      <w:pPr>
        <w:pStyle w:val="Normal"/>
        <w:widowControl w:val="false"/>
        <w:spacing w:lineRule="exact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4"/>
          <w:shd w:fill="FFFFFF" w:val="clear"/>
        </w:rPr>
        <w:t>Бакланцева Ольга Викторовна</w:t>
      </w:r>
    </w:p>
    <w:p>
      <w:pPr>
        <w:pStyle w:val="Normal"/>
        <w:widowControl w:val="false"/>
        <w:spacing w:lineRule="exact" w:line="360" w:before="0" w:after="0"/>
        <w:ind w:left="0" w:right="0" w:hanging="0"/>
        <w:jc w:val="left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4"/>
          <w:shd w:fill="FFFFFF" w:val="clear"/>
        </w:rPr>
        <w:t>Воспитатель МБДОУ детский сад №33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FFFFFF" w:val="clear"/>
        </w:rPr>
        <w:t>«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4"/>
          <w:shd w:fill="FFFFFF" w:val="clear"/>
        </w:rPr>
        <w:t>Умка</w:t>
      </w:r>
      <w:r>
        <w:rPr>
          <w:rFonts w:eastAsia="Times New Roman" w:cs="Times New Roman" w:ascii="Times New Roman" w:hAnsi="Times New Roman"/>
          <w:b/>
          <w:i/>
          <w:color w:val="000000"/>
          <w:spacing w:val="0"/>
          <w:sz w:val="24"/>
          <w:shd w:fill="FFFFFF" w:val="clear"/>
        </w:rPr>
        <w:t xml:space="preserve">» </w:t>
      </w:r>
      <w:r>
        <w:rPr>
          <w:rFonts w:eastAsia="Times New Roman CYR" w:cs="Times New Roman CYR" w:ascii="Times New Roman CYR" w:hAnsi="Times New Roman CYR"/>
          <w:b/>
          <w:i/>
          <w:color w:val="000000"/>
          <w:spacing w:val="0"/>
          <w:sz w:val="24"/>
          <w:shd w:fill="FFFFFF" w:val="clear"/>
        </w:rPr>
        <w:t>г. Ростов-на-Дону</w:t>
      </w:r>
    </w:p>
    <w:p>
      <w:pPr>
        <w:pStyle w:val="Normal"/>
        <w:widowControl w:val="false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pacing w:val="0"/>
          <w:sz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</w:r>
    </w:p>
    <w:p>
      <w:pPr>
        <w:pStyle w:val="Normal"/>
        <w:widowControl w:val="false"/>
        <w:spacing w:lineRule="exact" w:line="240" w:before="0" w:after="0"/>
        <w:ind w:left="0" w:right="0" w:hanging="0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8"/>
          <w:shd w:fill="FFFFFF" w:val="clear"/>
        </w:rPr>
        <w:t>Аннотация</w:t>
      </w:r>
    </w:p>
    <w:p>
      <w:pPr>
        <w:pStyle w:val="Normal"/>
        <w:widowControl w:val="false"/>
        <w:spacing w:lineRule="exact" w:line="360" w:before="0" w:after="15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FFFFFF" w:val="clear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>
      <w:pPr>
        <w:pStyle w:val="Normal"/>
        <w:widowControl w:val="false"/>
        <w:spacing w:lineRule="exact" w:line="360" w:before="0" w:after="15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FFFFFF" w:val="clear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>
        <w:rPr>
          <w:rFonts w:eastAsia="Helvetica" w:cs="Helvetica" w:ascii="Helvetica" w:hAnsi="Helvetica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FFFFFF" w:val="clear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8"/>
          <w:shd w:fill="auto" w:val="clear"/>
        </w:rPr>
        <w:t>Цель: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 xml:space="preserve"> формирование устной речи, навыков речевого общения посредством пальчиковых игр.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b/>
          <w:color w:val="000000"/>
          <w:spacing w:val="0"/>
          <w:sz w:val="28"/>
          <w:shd w:fill="auto" w:val="clear"/>
        </w:rPr>
        <w:t>Задачи: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 xml:space="preserve"> - развивать у детей основы речевой активности с помощью речевых игр и упражнений;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создавать условия для проведения пальчиковых игр и упражнений учитывая возрастные и индивидуальные особенности детей;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воспитывать интерес к развитию речи детей с помощью пальчиковых игр.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 xml:space="preserve">Игры с пальчиками развивают мозг ребенка,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 Руки имеют самое большое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«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представительство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»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ребенка начинается, когда движения его пальчиков достигают достаточной точности. Руки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Использование пальчиковых игр в период адаптации детей раннего возраста к условиям дошкольного учреждения: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пальчиковые игры позволяют наладить доверительные отношения между взрослым и ребенком;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помогают детям преодолеть стрессовые ситуации, связанные с протеканием процесса адаптации;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пальчиковые игры дарят малышам минуты радости, вызывают у них положительное отношение к детскому саду.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Пальчиковые игры имеют следующие характеристики: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универсальность - можно играть в любом месте в любое время;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кратковременность - обычно не более 2-5 минут;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активный, но безопасный телесный контакт в групповых играх;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 xml:space="preserve">невербальное общение в играх -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«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молчанках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»,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использование языка жестов;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-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Что происходит, когда ребёнок занимается пальчиковой гимнастикой?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В-третьих, ребёнок учится концентрировать своё внимание и правильно его распределять.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В-четвёртых, если ребёнок будет выполнять упражнения, сопровождая их короткими стихотворными строчками, то его речь станет белее чёткой, ритмичной, яркой.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В-шестых, у ребёнка развивается воображение и фантазия.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в целом речь ребенка.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функциональное состояние мозга.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Пальчиковые игры помогают овладеть практическими навыками, облегчают развитие умения пользования карандашом, кистью, ножницами.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Liberation Serif" w:hAnsi="Liberation Serif" w:eastAsia="Liberation Serif" w:cs="Liberation Serif"/>
          <w:color w:val="auto"/>
          <w:spacing w:val="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движениями под стихотворный текст.</w:t>
      </w:r>
    </w:p>
    <w:p>
      <w:pPr>
        <w:pStyle w:val="Normal"/>
        <w:widowControl w:val="false"/>
        <w:spacing w:lineRule="exact" w:line="360" w:before="0" w:after="160"/>
        <w:ind w:left="0" w:right="0" w:firstLine="708"/>
        <w:jc w:val="both"/>
        <w:rPr>
          <w:rFonts w:ascii="Times New Roman CYR" w:hAnsi="Times New Roman CYR" w:eastAsia="Times New Roman CYR" w:cs="Times New Roman CYR"/>
          <w:color w:val="000000"/>
          <w:spacing w:val="0"/>
          <w:sz w:val="28"/>
        </w:rPr>
      </w:pPr>
      <w:r>
        <w:rPr>
          <w:rFonts w:eastAsia="Times New Roman CYR" w:cs="Times New Roman CYR" w:ascii="Times New Roman CYR" w:hAnsi="Times New Roman CYR"/>
          <w:color w:val="000000"/>
          <w:spacing w:val="0"/>
          <w:sz w:val="28"/>
          <w:shd w:fill="auto" w:val="clear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color w:val="000000"/>
          <w:spacing w:val="0"/>
          <w:sz w:val="24"/>
          <w:highlight w:val="white"/>
        </w:rPr>
      </w:pPr>
      <w:r>
        <w:rPr/>
      </w:r>
    </w:p>
    <w:p>
      <w:pPr>
        <w:pStyle w:val="Normal"/>
        <w:widowControl w:val="fals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 LibreOffice_project/2412653d852ce75f65fbfa83fb7e7b669a126d64</Application>
  <Pages>5</Pages>
  <Words>818</Words>
  <Characters>5488</Characters>
  <CharactersWithSpaces>6275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2024-11-19T18:17:57Z</dcterms:modified>
  <cp:revision>1</cp:revision>
  <dc:subject/>
  <dc:title/>
</cp:coreProperties>
</file>