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города ростова-на-дону «детский сад №33»</w:t>
      </w:r>
      <w:r>
        <w:rPr>
          <w:sz w:val="28"/>
        </w:rPr>
      </w:r>
      <w:r>
        <w:rPr>
          <w:sz w:val="28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Методическая разработка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firstLine="0"/>
        <w:jc w:val="center"/>
        <w:spacing w:line="85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32"/>
        </w:rPr>
        <w:t xml:space="preserve">"Роль народных праздников в приобщении дошкольников к русским народным традициям."</w:t>
      </w:r>
      <w:r>
        <w:rPr>
          <w:b w:val="0"/>
          <w:bCs w:val="0"/>
        </w:rPr>
      </w:r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</w:r>
      <w:r>
        <w:rPr>
          <w:rFonts w:ascii="Carlito" w:hAnsi="Carlito" w:cs="Carlito"/>
          <w:b w:val="0"/>
          <w:bCs w:val="0"/>
          <w:sz w:val="28"/>
          <w:szCs w:val="28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lef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right"/>
        <w:rPr>
          <w:b/>
        </w:rPr>
      </w:pPr>
      <w:r>
        <w:rPr>
          <w:b/>
        </w:rPr>
        <w:t xml:space="preserve">Воспитатель: </w:t>
      </w:r>
      <w:r>
        <w:rPr>
          <w:b/>
        </w:rPr>
      </w:r>
      <w:r>
        <w:rPr>
          <w:b/>
        </w:rPr>
      </w:r>
    </w:p>
    <w:p>
      <w:pPr>
        <w:jc w:val="right"/>
      </w:pPr>
      <w:r>
        <w:t xml:space="preserve">Малюгина Е.Ю.</w:t>
      </w:r>
      <w:r/>
      <w:r/>
    </w:p>
    <w:p>
      <w:pPr>
        <w:jc w:val="righ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</w:r>
      <w:r>
        <w:t xml:space="preserve">  </w:t>
      </w:r>
      <w:r>
        <w:t xml:space="preserve"> 2024 год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center"/>
        <w:spacing w:line="85" w:lineRule="atLeast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 xml:space="preserve">"Роль народных праздников в приобщении дошкольников к русским народным традициям."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Организации и проведению народных праздников в нашем детском саду сегодня уделяется большое внимание. Мы стремимся использовать все средства приобщения дошкольников к истокам русской народной культуры, сохранению ее традиций.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Только воспитание детей дошкольного возраста в духе народных традиций может развивать у них национальное самосознание, уважение к своему народу. Мы считаем, что грамотно построенная организация народных праздников для дошкольников, направленно на всесторон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нее и гармоничное развитие ребенка.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С первых лет жизни ребёнка приобщение его к культуре, общечеловеческим ценностям помогают заложить в нём фундамент нравственности, патриотизма, формирует основы самосознания и индивидуальности.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работу по ознакомлению детей с народными традициями включаются различные виды детской деятельности: познавательная, исследовательская, художественно-продуктивная, досуговая, игровая. Она осуществляется непосредственно в интегративной форме: на занятиях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ознавательного цикла, музыкальных и занятиях по изобразительной деятельности, в процессе совместной деятельности воспитателя с детьми, в самостоятельной детской деятельности. Используются разнообразные формы деятельности: занятия, наблюдения, подготовленны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 детьми совместно с родителями рассказы о своей семье, беседы, трудовая деятельность.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Нужно не забывать, что: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народные праздники знакомят детей с народными традициями и историей русского народа, своеобразием быта, обычаев, костюма,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народные праздники связаны с воспитанием уважения к нравственным ценностям: честности, добросовестности, доброте и милосердии, великодушии, справедливости и др.;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грамотное проведение народных праздников формирует праздничную культуру детей дошкольного возраста.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Помочь детям сделать детский праздник незабываемым, открыть детям окно в мир удивительных чудес, оставить яркий след в душе ребёнка, Большое внимание уделяем традициям и обычаям предков, что ведет к сохранению народных традиций и приобщению к ним детей. Пр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аздники знакомят детей с народными традициями, обрядами, фольклором русского народа.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Праздники, которые отмечаются в детском саду, создают у всех наших воспитанников радостное настроение, вызывают положительный эмоциональный подъем. Подготовка к празднику вызывает у детей особенный интерес. 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 подготовке и проведении праздников происходит преображение робких детей непосредственно в эмоциональных, инициативных. Они непроизвольно вовлекаются в процесс игры, что соответствует природе дошкольника, где ребенок органично познает новые музыкальные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образы, приобретает умения, навыки, развивает фантазию. Хорошо спланированный, подготовленный по специальному сценарию праздник доставит радость не только детям, но и взрослым.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Очень значимо в процессе праздника оформление, которое, прежде всего, должно отвечать содержанию праздника. Необходимо стараться, чтобы оформление развивало у детей художественный эстетический вкус, а так же было понятно для ребёнка, создавало у всех радос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ть настроение.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 ведь народные игры, к сожалению, почти исчезли сегодня из детства. Видимо, надо помнить, что народные игры как жанр устного народного творчества являются национальным богатством, и мы должны сделать их достоянием наших детей.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 Народные праздники способствуют тому, чтобы дети хорошо знают св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оё прошлое, и культуру своего народа.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  <w:tab/>
        <w:t xml:space="preserve">Опыт работы в данном направлении показал, что светлое и радостное общение детей и взрослых — важное условие для развития личности ребенка и возрождения народных традиции, и мы должны сохранить народные праздники для себя и потомков, ведь праздники наших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прадедов и дедов — это душа народа. 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Малюгина</cp:lastModifiedBy>
  <cp:revision>2</cp:revision>
  <dcterms:modified xsi:type="dcterms:W3CDTF">2024-05-19T14:46:02Z</dcterms:modified>
</cp:coreProperties>
</file>