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0A" w:rsidRPr="00FD480A" w:rsidRDefault="00FD480A" w:rsidP="005B74F6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48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МБУ ДО «</w:t>
      </w:r>
      <w:r w:rsidR="008872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ДШИ №12</w:t>
      </w:r>
      <w:r w:rsidRPr="00FD48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Г.О. САМАРА</w:t>
      </w:r>
    </w:p>
    <w:p w:rsidR="003214FF" w:rsidRPr="00FD480A" w:rsidRDefault="003214FF" w:rsidP="005B74F6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  <w:r w:rsidRPr="00FD480A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ПРОЕКТ</w:t>
      </w:r>
      <w:r w:rsidR="00FD480A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 xml:space="preserve"> №1 по теме:</w:t>
      </w:r>
    </w:p>
    <w:p w:rsidR="001A0F2D" w:rsidRDefault="003214FF" w:rsidP="005B74F6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D480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452D45" w:rsidRPr="00FD480A">
        <w:rPr>
          <w:rFonts w:ascii="Times New Roman" w:eastAsia="Times New Roman" w:hAnsi="Times New Roman"/>
          <w:b/>
          <w:bCs/>
          <w:color w:val="000000"/>
          <w:lang w:eastAsia="ru-RU"/>
        </w:rPr>
        <w:t>«</w:t>
      </w:r>
      <w:bookmarkStart w:id="0" w:name="_GoBack"/>
      <w:r w:rsidR="001A0F2D" w:rsidRPr="00FD480A">
        <w:rPr>
          <w:rFonts w:ascii="Times New Roman" w:eastAsia="Times New Roman" w:hAnsi="Times New Roman"/>
          <w:b/>
          <w:color w:val="000000"/>
          <w:lang w:eastAsia="ru-RU"/>
        </w:rPr>
        <w:t>Создание</w:t>
      </w:r>
      <w:r w:rsidRPr="00FD480A">
        <w:rPr>
          <w:rFonts w:ascii="Times New Roman" w:eastAsia="Times New Roman" w:hAnsi="Times New Roman"/>
          <w:b/>
          <w:color w:val="000000"/>
          <w:lang w:eastAsia="ru-RU"/>
        </w:rPr>
        <w:t xml:space="preserve"> комплексно – целевой программы </w:t>
      </w:r>
      <w:r w:rsidR="001A0F2D" w:rsidRPr="00FD480A">
        <w:rPr>
          <w:rFonts w:ascii="Times New Roman" w:eastAsia="Times New Roman" w:hAnsi="Times New Roman"/>
          <w:b/>
          <w:color w:val="000000"/>
          <w:lang w:eastAsia="ru-RU"/>
        </w:rPr>
        <w:t>управления</w:t>
      </w:r>
      <w:r w:rsidRPr="00FD480A">
        <w:rPr>
          <w:rFonts w:ascii="Times New Roman" w:eastAsia="Times New Roman" w:hAnsi="Times New Roman"/>
          <w:b/>
          <w:color w:val="000000"/>
          <w:lang w:eastAsia="ru-RU"/>
        </w:rPr>
        <w:t xml:space="preserve"> качеством образования с учетом </w:t>
      </w:r>
      <w:r w:rsidR="00FD480A">
        <w:rPr>
          <w:rFonts w:ascii="Times New Roman" w:eastAsia="Times New Roman" w:hAnsi="Times New Roman"/>
          <w:b/>
          <w:color w:val="000000"/>
          <w:lang w:eastAsia="ru-RU"/>
        </w:rPr>
        <w:t>требований ФГОС</w:t>
      </w:r>
      <w:bookmarkEnd w:id="0"/>
      <w:r w:rsidR="008872E0">
        <w:rPr>
          <w:rFonts w:ascii="Times New Roman" w:eastAsia="Times New Roman" w:hAnsi="Times New Roman"/>
          <w:b/>
          <w:color w:val="000000"/>
          <w:lang w:eastAsia="ru-RU"/>
        </w:rPr>
        <w:t>»</w:t>
      </w:r>
      <w:r w:rsidR="00FD480A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8872E0" w:rsidRPr="008872E0" w:rsidRDefault="008872E0" w:rsidP="005B74F6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8872E0">
        <w:rPr>
          <w:rFonts w:ascii="Times New Roman" w:eastAsia="Times New Roman" w:hAnsi="Times New Roman"/>
          <w:b/>
          <w:color w:val="000000"/>
          <w:u w:val="single"/>
          <w:lang w:eastAsia="ru-RU"/>
        </w:rPr>
        <w:t>Выполнила: Терешина Светлана Витальевна</w:t>
      </w:r>
    </w:p>
    <w:p w:rsidR="00E26FA7" w:rsidRPr="00FD480A" w:rsidRDefault="00E26FA7" w:rsidP="005B74F6">
      <w:pPr>
        <w:spacing w:after="0" w:line="276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515AE" w:rsidRPr="00FD480A" w:rsidRDefault="00FD480A" w:rsidP="005B74F6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4515AE" w:rsidRPr="00FD480A">
        <w:rPr>
          <w:rFonts w:ascii="Times New Roman" w:hAnsi="Times New Roman"/>
          <w:b/>
        </w:rPr>
        <w:t>Основные требования к качеству образования, предъявляемые ФГОС</w:t>
      </w:r>
    </w:p>
    <w:p w:rsidR="00FD480A" w:rsidRPr="00FD480A" w:rsidRDefault="00FD480A" w:rsidP="005B74F6">
      <w:pPr>
        <w:spacing w:after="0" w:line="276" w:lineRule="auto"/>
        <w:ind w:firstLine="708"/>
        <w:jc w:val="both"/>
        <w:rPr>
          <w:rFonts w:ascii="Times New Roman" w:hAnsi="Times New Roman"/>
        </w:rPr>
      </w:pPr>
      <w:r w:rsidRPr="00FD480A">
        <w:rPr>
          <w:rFonts w:ascii="Times New Roman" w:hAnsi="Times New Roman"/>
        </w:rPr>
        <w:t xml:space="preserve">Согласно стандарту </w:t>
      </w:r>
      <w:r w:rsidRPr="00FD480A">
        <w:rPr>
          <w:rFonts w:ascii="Times New Roman" w:hAnsi="Times New Roman"/>
          <w:b/>
          <w:i/>
        </w:rPr>
        <w:t>общие компетенции (ОК</w:t>
      </w:r>
      <w:r w:rsidRPr="00FD480A">
        <w:rPr>
          <w:rFonts w:ascii="Times New Roman" w:hAnsi="Times New Roman"/>
          <w:i/>
        </w:rPr>
        <w:t>)</w:t>
      </w:r>
      <w:r w:rsidRPr="00FD480A">
        <w:rPr>
          <w:rFonts w:ascii="Times New Roman" w:hAnsi="Times New Roman"/>
        </w:rPr>
        <w:t xml:space="preserve"> – это совокупность социально-личностных качеств выпускника, обеспечивающих осуществление деятельности на определенном квалификационном уровне. Общая компетенция - это способность успешно действовать на основе практического опыта, умений и знаний при решении задач, общих для многих видов профессиональной деятельности.</w:t>
      </w:r>
    </w:p>
    <w:p w:rsidR="00FD480A" w:rsidRPr="00FD480A" w:rsidRDefault="00FD480A" w:rsidP="005B74F6">
      <w:pPr>
        <w:spacing w:after="0" w:line="276" w:lineRule="auto"/>
        <w:jc w:val="both"/>
        <w:rPr>
          <w:rFonts w:ascii="Times New Roman" w:hAnsi="Times New Roman"/>
        </w:rPr>
      </w:pPr>
      <w:r w:rsidRPr="00FD480A">
        <w:rPr>
          <w:rFonts w:ascii="Times New Roman" w:hAnsi="Times New Roman"/>
        </w:rPr>
        <w:t xml:space="preserve"> </w:t>
      </w:r>
      <w:r w:rsidRPr="00FD480A">
        <w:rPr>
          <w:rFonts w:ascii="Times New Roman" w:hAnsi="Times New Roman"/>
        </w:rPr>
        <w:tab/>
      </w:r>
      <w:r w:rsidRPr="00FD480A">
        <w:rPr>
          <w:rFonts w:ascii="Times New Roman" w:hAnsi="Times New Roman"/>
          <w:b/>
          <w:i/>
        </w:rPr>
        <w:t>Профессиональные компетенции (ПК)</w:t>
      </w:r>
      <w:r w:rsidRPr="00FD480A">
        <w:rPr>
          <w:rFonts w:ascii="Times New Roman" w:hAnsi="Times New Roman"/>
        </w:rPr>
        <w:t xml:space="preserve"> – способность действовать на основе имеющихся умений, знаний и практического опыта в определенной области профессиональной деятельности. Будущий специалист должен свободно владеть своей профессией и ориентироваться в смежных областях деятельности, стремиться к постоянному профессиональному росту и социальной мобильности.</w:t>
      </w:r>
    </w:p>
    <w:p w:rsidR="004515AE" w:rsidRPr="00FD480A" w:rsidRDefault="004515AE" w:rsidP="005B74F6">
      <w:pPr>
        <w:spacing w:after="0" w:line="276" w:lineRule="auto"/>
        <w:ind w:firstLine="708"/>
        <w:jc w:val="both"/>
        <w:rPr>
          <w:rFonts w:ascii="Times New Roman" w:hAnsi="Times New Roman"/>
        </w:rPr>
      </w:pPr>
      <w:r w:rsidRPr="00FD480A">
        <w:rPr>
          <w:rFonts w:ascii="Times New Roman" w:hAnsi="Times New Roman"/>
        </w:rPr>
        <w:t>В основе Федеральных государственных образовательных стандартов среднего профессионального образования (ФГОС СПО), которые представляют собой совокупность требований, обязательных при реализации основных образовательных программ среднего профессионального образования образовательными учреждениями, заложен компетентностный подход.</w:t>
      </w:r>
    </w:p>
    <w:p w:rsidR="004515AE" w:rsidRPr="00FD480A" w:rsidRDefault="004515AE" w:rsidP="005B74F6">
      <w:pPr>
        <w:spacing w:after="0" w:line="276" w:lineRule="auto"/>
        <w:jc w:val="both"/>
        <w:rPr>
          <w:rFonts w:ascii="Times New Roman" w:hAnsi="Times New Roman"/>
        </w:rPr>
      </w:pPr>
      <w:r w:rsidRPr="00FD480A">
        <w:rPr>
          <w:rFonts w:ascii="Times New Roman" w:hAnsi="Times New Roman"/>
        </w:rPr>
        <w:t xml:space="preserve"> </w:t>
      </w:r>
      <w:r w:rsidR="00E26FA7" w:rsidRPr="00FD480A">
        <w:rPr>
          <w:rFonts w:ascii="Times New Roman" w:hAnsi="Times New Roman"/>
        </w:rPr>
        <w:tab/>
      </w:r>
      <w:r w:rsidRPr="00FD480A">
        <w:rPr>
          <w:rFonts w:ascii="Times New Roman" w:hAnsi="Times New Roman"/>
        </w:rPr>
        <w:t xml:space="preserve">В современных условиях профессионального рынка утвержден социальный заказ на подготовку образовательными учреждениями среднего профессионального образования высококвалифицированного работника высокой степени подготовленности, владеющий необходимыми компетенциями, а также способный составить конкуренцию и быть востребованным на рынке труда. </w:t>
      </w:r>
    </w:p>
    <w:p w:rsidR="00E26FA7" w:rsidRPr="00FD480A" w:rsidRDefault="00FD7C23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FD480A">
        <w:rPr>
          <w:rFonts w:ascii="Times New Roman" w:eastAsia="Times New Roman" w:hAnsi="Times New Roman"/>
          <w:lang w:eastAsia="ru-RU"/>
        </w:rPr>
        <w:t>С</w:t>
      </w:r>
      <w:r w:rsidR="004515AE" w:rsidRPr="00FD480A">
        <w:rPr>
          <w:rFonts w:ascii="Times New Roman" w:eastAsia="Times New Roman" w:hAnsi="Times New Roman"/>
          <w:lang w:eastAsia="ru-RU"/>
        </w:rPr>
        <w:t>овременная с</w:t>
      </w:r>
      <w:r w:rsidRPr="00FD480A">
        <w:rPr>
          <w:rFonts w:ascii="Times New Roman" w:eastAsia="Times New Roman" w:hAnsi="Times New Roman"/>
          <w:lang w:eastAsia="ru-RU"/>
        </w:rPr>
        <w:t xml:space="preserve">истема качества образования в </w:t>
      </w:r>
      <w:r w:rsidR="00E26FA7" w:rsidRPr="00FD480A">
        <w:rPr>
          <w:rFonts w:ascii="Times New Roman" w:eastAsia="Times New Roman" w:hAnsi="Times New Roman"/>
          <w:lang w:eastAsia="ru-RU"/>
        </w:rPr>
        <w:t>СПО</w:t>
      </w:r>
      <w:r w:rsidRPr="00FD480A">
        <w:rPr>
          <w:rFonts w:ascii="Times New Roman" w:eastAsia="Times New Roman" w:hAnsi="Times New Roman"/>
          <w:lang w:eastAsia="ru-RU"/>
        </w:rPr>
        <w:t xml:space="preserve"> </w:t>
      </w:r>
      <w:r w:rsidR="00E26FA7" w:rsidRPr="00FD480A">
        <w:rPr>
          <w:rFonts w:ascii="Times New Roman" w:eastAsia="Times New Roman" w:hAnsi="Times New Roman"/>
          <w:lang w:eastAsia="ru-RU"/>
        </w:rPr>
        <w:t>состоит из внутренней нормативно-методической документации</w:t>
      </w:r>
      <w:r w:rsidRPr="00FD480A">
        <w:rPr>
          <w:rFonts w:ascii="Times New Roman" w:eastAsia="Times New Roman" w:hAnsi="Times New Roman"/>
          <w:lang w:eastAsia="ru-RU"/>
        </w:rPr>
        <w:t>,</w:t>
      </w:r>
      <w:r w:rsidR="00E26FA7" w:rsidRPr="00FD480A">
        <w:rPr>
          <w:rFonts w:ascii="Times New Roman" w:eastAsia="Times New Roman" w:hAnsi="Times New Roman"/>
          <w:lang w:eastAsia="ru-RU"/>
        </w:rPr>
        <w:t xml:space="preserve"> разработанной в соответствии со спецификой образовательной деятельности организации, регламентирующих</w:t>
      </w:r>
      <w:r w:rsidRPr="00FD480A">
        <w:rPr>
          <w:rFonts w:ascii="Times New Roman" w:eastAsia="Times New Roman" w:hAnsi="Times New Roman"/>
          <w:lang w:eastAsia="ru-RU"/>
        </w:rPr>
        <w:t xml:space="preserve"> </w:t>
      </w:r>
      <w:r w:rsidR="00E26FA7" w:rsidRPr="00FD480A">
        <w:rPr>
          <w:rFonts w:ascii="Times New Roman" w:eastAsia="Times New Roman" w:hAnsi="Times New Roman"/>
          <w:lang w:eastAsia="ru-RU"/>
        </w:rPr>
        <w:t>применяемые</w:t>
      </w:r>
      <w:r w:rsidRPr="00FD480A">
        <w:rPr>
          <w:rFonts w:ascii="Times New Roman" w:eastAsia="Times New Roman" w:hAnsi="Times New Roman"/>
          <w:lang w:eastAsia="ru-RU"/>
        </w:rPr>
        <w:t xml:space="preserve"> </w:t>
      </w:r>
      <w:r w:rsidR="00E26FA7" w:rsidRPr="00FD480A">
        <w:rPr>
          <w:rFonts w:ascii="Times New Roman" w:eastAsia="Times New Roman" w:hAnsi="Times New Roman"/>
          <w:lang w:eastAsia="ru-RU"/>
        </w:rPr>
        <w:t>методы, технологии</w:t>
      </w:r>
      <w:r w:rsidRPr="00FD480A">
        <w:rPr>
          <w:rFonts w:ascii="Times New Roman" w:eastAsia="Times New Roman" w:hAnsi="Times New Roman"/>
          <w:lang w:eastAsia="ru-RU"/>
        </w:rPr>
        <w:t xml:space="preserve"> и средства</w:t>
      </w:r>
      <w:r w:rsidR="00E26FA7" w:rsidRPr="00FD480A">
        <w:rPr>
          <w:rFonts w:ascii="Times New Roman" w:eastAsia="Times New Roman" w:hAnsi="Times New Roman"/>
          <w:lang w:eastAsia="ru-RU"/>
        </w:rPr>
        <w:t xml:space="preserve"> обучения всех</w:t>
      </w:r>
      <w:r w:rsidRPr="00FD480A">
        <w:rPr>
          <w:rFonts w:ascii="Times New Roman" w:eastAsia="Times New Roman" w:hAnsi="Times New Roman"/>
          <w:lang w:eastAsia="ru-RU"/>
        </w:rPr>
        <w:t xml:space="preserve"> </w:t>
      </w:r>
      <w:r w:rsidR="00E26FA7" w:rsidRPr="00FD480A">
        <w:rPr>
          <w:rFonts w:ascii="Times New Roman" w:eastAsia="Times New Roman" w:hAnsi="Times New Roman"/>
          <w:lang w:eastAsia="ru-RU"/>
        </w:rPr>
        <w:t>педагогических работников и работников учреждения в целом</w:t>
      </w:r>
      <w:r w:rsidRPr="00FD480A">
        <w:rPr>
          <w:rFonts w:ascii="Times New Roman" w:eastAsia="Times New Roman" w:hAnsi="Times New Roman"/>
          <w:lang w:eastAsia="ru-RU"/>
        </w:rPr>
        <w:t xml:space="preserve">, </w:t>
      </w:r>
      <w:r w:rsidR="00E26FA7" w:rsidRPr="00FD480A">
        <w:rPr>
          <w:rFonts w:ascii="Times New Roman" w:eastAsia="Times New Roman" w:hAnsi="Times New Roman"/>
          <w:lang w:eastAsia="ru-RU"/>
        </w:rPr>
        <w:t>и направлена на развитие и поэтапное повышение качества образовательного процесса и профессиональной компетенции студентов и выпускников образовательного учреждения.</w:t>
      </w:r>
      <w:r w:rsidRPr="00FD480A">
        <w:rPr>
          <w:rFonts w:ascii="Times New Roman" w:eastAsia="Times New Roman" w:hAnsi="Times New Roman"/>
          <w:color w:val="FF0000"/>
          <w:lang w:eastAsia="ru-RU"/>
        </w:rPr>
        <w:t xml:space="preserve"> </w:t>
      </w:r>
    </w:p>
    <w:p w:rsidR="006C3CEE" w:rsidRPr="00FD480A" w:rsidRDefault="00E26FA7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 xml:space="preserve">Система качества позволяет разработать комплекс взаимосвязанных целей, отработать возможную стратегию и тактику их достижения, тем самым создать единую политику образовательной организации, которая могла бы </w:t>
      </w:r>
      <w:r w:rsidR="006C3CEE" w:rsidRPr="00FD480A">
        <w:rPr>
          <w:rFonts w:ascii="Times New Roman" w:eastAsia="Times New Roman" w:hAnsi="Times New Roman"/>
          <w:color w:val="000000"/>
          <w:lang w:eastAsia="ru-RU"/>
        </w:rPr>
        <w:t>определить гарантии качества образования, предоставляемого организацией и обозначить дальнейшие пути развития.</w:t>
      </w:r>
    </w:p>
    <w:p w:rsidR="00FD480A" w:rsidRDefault="00FD480A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Гарантии качества образовательного процесса можно рассмотреть, как совокупность разнонаправленных видов деятельности, объединенных единой конечной целью, это может быть деятельность по руководству и управлению образовательной организацией, техникумом или колледжем. Основную структурную составляющую гарантий качества при этом будут составлять такие понятия, как: управление качеством; планирование качества; обеспечение качественного образования; улучшение качественных показателей в динамике образовательной деятельности и систематический мониторинг, и оценка качества.</w:t>
      </w:r>
    </w:p>
    <w:p w:rsidR="00FD7C23" w:rsidRPr="00FD480A" w:rsidRDefault="006C3CEE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Практическая реализация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 xml:space="preserve"> стратегии по улучшению качества образования и других видов деятельности с целью </w:t>
      </w:r>
      <w:r w:rsidRPr="00FD480A">
        <w:rPr>
          <w:rFonts w:ascii="Times New Roman" w:eastAsia="Times New Roman" w:hAnsi="Times New Roman"/>
          <w:color w:val="000000"/>
          <w:lang w:eastAsia="ru-RU"/>
        </w:rPr>
        <w:t xml:space="preserve">удовлетворения потребностей потенциального потребителя образовательных </w:t>
      </w:r>
      <w:r w:rsidRPr="00FD480A">
        <w:rPr>
          <w:rFonts w:ascii="Times New Roman" w:eastAsia="Times New Roman" w:hAnsi="Times New Roman"/>
          <w:color w:val="000000"/>
          <w:lang w:eastAsia="ru-RU"/>
        </w:rPr>
        <w:lastRenderedPageBreak/>
        <w:t>услуг: обучающихся, их родителей и законных представителей, потенциального работодателя и общества в целом.</w:t>
      </w:r>
    </w:p>
    <w:p w:rsidR="00FD7C23" w:rsidRPr="00FD480A" w:rsidRDefault="00FD7C23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 </w:t>
      </w:r>
      <w:r w:rsidR="006C3CEE" w:rsidRPr="00FD480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C0973" w:rsidRPr="00FD480A">
        <w:rPr>
          <w:rFonts w:ascii="Times New Roman" w:eastAsia="Times New Roman" w:hAnsi="Times New Roman"/>
          <w:lang w:eastAsia="ru-RU"/>
        </w:rPr>
        <w:t xml:space="preserve">В процессе обеспечения качества </w:t>
      </w:r>
      <w:r w:rsidRPr="00FD480A">
        <w:rPr>
          <w:rFonts w:ascii="Times New Roman" w:eastAsia="Times New Roman" w:hAnsi="Times New Roman"/>
          <w:lang w:eastAsia="ru-RU"/>
        </w:rPr>
        <w:t>среднего профессионального образования</w:t>
      </w:r>
      <w:r w:rsidR="007C0973" w:rsidRPr="00FD480A">
        <w:rPr>
          <w:rFonts w:ascii="Times New Roman" w:eastAsia="Times New Roman" w:hAnsi="Times New Roman"/>
          <w:lang w:eastAsia="ru-RU"/>
        </w:rPr>
        <w:t xml:space="preserve"> стоит выделить следующие моменты:</w:t>
      </w:r>
    </w:p>
    <w:p w:rsidR="00FD7C23" w:rsidRPr="00FD480A" w:rsidRDefault="007C0973" w:rsidP="005B74F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D480A">
        <w:rPr>
          <w:rFonts w:ascii="Times New Roman" w:eastAsia="Times New Roman" w:hAnsi="Times New Roman"/>
          <w:lang w:eastAsia="ru-RU"/>
        </w:rPr>
        <w:t>Все процессы в области профессионального образования так или иначе направлены на повышение его качества.</w:t>
      </w:r>
    </w:p>
    <w:p w:rsidR="007C0973" w:rsidRPr="00FD480A" w:rsidRDefault="007C0973" w:rsidP="005B74F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D480A">
        <w:rPr>
          <w:rFonts w:ascii="Times New Roman" w:eastAsia="Times New Roman" w:hAnsi="Times New Roman"/>
          <w:lang w:eastAsia="ru-RU"/>
        </w:rPr>
        <w:t>В современном образовательном процессе все установленные и принятые в обществе, государстве нормативы, критерии и требования определяют стандарты качества образования.</w:t>
      </w:r>
    </w:p>
    <w:p w:rsidR="007C0973" w:rsidRPr="00FD480A" w:rsidRDefault="007C0973" w:rsidP="005B74F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Все процессы и инструменты управления, механизмы принятия решений, организация самоуправления рассматриваются со стороны обеспечения качества.</w:t>
      </w:r>
    </w:p>
    <w:p w:rsidR="0044548B" w:rsidRPr="00FD480A" w:rsidRDefault="0044548B" w:rsidP="005B74F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Непрерывный процесс обучения и повышения квалификации педагогических работников обеспечивает возможность высокой подготовки студентов. В учреждениях образования постоянно разрабатываются новые методические материалы, применяются современных технологии, в том числе информационные и дистанционные технологии, повышается уровень материально-технической базы, социально-бытовой и организационной структуры.</w:t>
      </w:r>
    </w:p>
    <w:p w:rsidR="0044548B" w:rsidRPr="00FD480A" w:rsidRDefault="0044548B" w:rsidP="005B74F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На всех этапах образовательного процесса постоянно происходит мониторинг качества образования.</w:t>
      </w:r>
    </w:p>
    <w:p w:rsidR="0012027F" w:rsidRPr="00FD480A" w:rsidRDefault="0012027F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Соответственно можно провести параллель зависимости качества образования от различных факторов, взаимодействующих между собой компонентов и все они направлены на соответствие результатов образования потребностям общества.</w:t>
      </w:r>
    </w:p>
    <w:p w:rsidR="003214FF" w:rsidRPr="00FD480A" w:rsidRDefault="003214FF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 xml:space="preserve">В каждом конкретном учреждении качественные показатели образования </w:t>
      </w:r>
      <w:r w:rsidR="00ED2F14" w:rsidRPr="00FD480A">
        <w:rPr>
          <w:rFonts w:ascii="Times New Roman" w:eastAsia="Times New Roman" w:hAnsi="Times New Roman"/>
          <w:color w:val="000000"/>
          <w:lang w:eastAsia="ru-RU"/>
        </w:rPr>
        <w:t>можно рассмотреть,</w:t>
      </w:r>
      <w:r w:rsidRPr="00FD480A">
        <w:rPr>
          <w:rFonts w:ascii="Times New Roman" w:eastAsia="Times New Roman" w:hAnsi="Times New Roman"/>
          <w:color w:val="000000"/>
          <w:lang w:eastAsia="ru-RU"/>
        </w:rPr>
        <w:t xml:space="preserve"> зная</w:t>
      </w:r>
      <w:r w:rsidR="00ED2F14" w:rsidRPr="00FD480A">
        <w:rPr>
          <w:rFonts w:ascii="Times New Roman" w:eastAsia="Times New Roman" w:hAnsi="Times New Roman"/>
          <w:color w:val="000000"/>
          <w:lang w:eastAsia="ru-RU"/>
        </w:rPr>
        <w:t>: основные характеристики контингента обучающихся; направления и специализацию обучения; квалификационные показатели педагогического состава; основные образовательные методики и технологии применяемые в процессе обучения и материально-техническую оснащенность учреждения образования.</w:t>
      </w:r>
      <w:r w:rsidRPr="00FD480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D2F14" w:rsidRPr="00FD480A">
        <w:rPr>
          <w:rFonts w:ascii="Times New Roman" w:eastAsia="Times New Roman" w:hAnsi="Times New Roman"/>
          <w:color w:val="000000"/>
          <w:lang w:eastAsia="ru-RU"/>
        </w:rPr>
        <w:t>Также не стоит пренебрегать изучением психологического климата в образовательной организации, необходимо рассмотреть проблемы мотивации обучающихся и педагогических работников. Во всех случаях мотивация должна иметь положительную направленность, только тогда можно говорить о качестве образования.</w:t>
      </w:r>
    </w:p>
    <w:p w:rsidR="00ED2F14" w:rsidRPr="00FD480A" w:rsidRDefault="00ED2F14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 xml:space="preserve">В настоящее время федеральные государственные стандарты (ФГОС) основаны на формировании содержания образования основываясь на результатах, при этом основным компонентом системы </w:t>
      </w:r>
      <w:r w:rsidR="00262529" w:rsidRPr="00FD480A">
        <w:rPr>
          <w:rFonts w:ascii="Times New Roman" w:eastAsia="Times New Roman" w:hAnsi="Times New Roman"/>
          <w:color w:val="000000"/>
          <w:lang w:eastAsia="ru-RU"/>
        </w:rPr>
        <w:t xml:space="preserve">для выделения качественных показателей становятся характеристики профессиональной деятельности выпускников, уровень освоения общих и профессиональных компетенций. Не малую роль сейчас играет в развитии качества образования профессиональное движение </w:t>
      </w:r>
      <w:r w:rsidR="00262529" w:rsidRPr="00FD480A">
        <w:rPr>
          <w:rFonts w:ascii="Times New Roman" w:eastAsia="Times New Roman" w:hAnsi="Times New Roman"/>
          <w:color w:val="000000"/>
          <w:lang w:val="en-US" w:eastAsia="ru-RU"/>
        </w:rPr>
        <w:t>WorldSkills</w:t>
      </w:r>
      <w:r w:rsidR="00262529" w:rsidRPr="00FD480A">
        <w:rPr>
          <w:rFonts w:ascii="Times New Roman" w:eastAsia="Times New Roman" w:hAnsi="Times New Roman"/>
          <w:color w:val="000000"/>
          <w:lang w:eastAsia="ru-RU"/>
        </w:rPr>
        <w:t>, которое поднимает планку овладения обучающимися профессиональными компетенциями до уровня специалистов. Благодаря таким требованиям современные выпускники стали более востребованы на рынке труда, многие из них трудоустраиваются еще в период обучения, становятся высококвалифицированными специалистами и в последствии наставниками.</w:t>
      </w:r>
    </w:p>
    <w:p w:rsidR="00E55F94" w:rsidRPr="00FD480A" w:rsidRDefault="00515CDD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D480A">
        <w:rPr>
          <w:rFonts w:ascii="Times New Roman" w:eastAsia="Times New Roman" w:hAnsi="Times New Roman"/>
          <w:lang w:eastAsia="ru-RU"/>
        </w:rPr>
        <w:t xml:space="preserve"> </w:t>
      </w:r>
      <w:r w:rsidR="00E55F94" w:rsidRPr="00FD480A">
        <w:rPr>
          <w:rFonts w:ascii="Times New Roman" w:eastAsia="Times New Roman" w:hAnsi="Times New Roman"/>
          <w:lang w:eastAsia="ru-RU"/>
        </w:rPr>
        <w:t>Современное образование и качественная подготовка специалистов среднего звена не возможна без решения определенных проблемных аспектов</w:t>
      </w:r>
      <w:r w:rsidR="00DA534A" w:rsidRPr="00FD480A">
        <w:rPr>
          <w:rFonts w:ascii="Times New Roman" w:hAnsi="Times New Roman"/>
        </w:rPr>
        <w:t xml:space="preserve"> (Схема 1.1</w:t>
      </w:r>
      <w:r w:rsidR="00DA534A" w:rsidRPr="00FD480A">
        <w:rPr>
          <w:rFonts w:ascii="Times New Roman" w:eastAsia="Times New Roman" w:hAnsi="Times New Roman"/>
          <w:lang w:eastAsia="ru-RU"/>
        </w:rPr>
        <w:t>)</w:t>
      </w:r>
      <w:r w:rsidR="000E6134" w:rsidRPr="00FD480A">
        <w:rPr>
          <w:rFonts w:ascii="Times New Roman" w:eastAsia="Times New Roman" w:hAnsi="Times New Roman"/>
          <w:lang w:eastAsia="ru-RU"/>
        </w:rPr>
        <w:t>.</w:t>
      </w:r>
    </w:p>
    <w:p w:rsidR="00E55F94" w:rsidRPr="00FD480A" w:rsidRDefault="00F71C63" w:rsidP="005B74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FD480A">
        <w:rPr>
          <w:rFonts w:ascii="Times New Roman" w:eastAsia="Times New Roman" w:hAnsi="Times New Roman"/>
          <w:bCs/>
          <w:iCs/>
          <w:color w:val="000000"/>
          <w:lang w:eastAsia="ru-RU"/>
        </w:rPr>
        <w:t>Во-первых,</w:t>
      </w:r>
      <w:r w:rsidR="00E55F94" w:rsidRPr="00FD480A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методологические проблемы.</w:t>
      </w:r>
    </w:p>
    <w:p w:rsidR="00F71C63" w:rsidRPr="00FD480A" w:rsidRDefault="00E55F94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FD480A">
        <w:rPr>
          <w:rFonts w:ascii="Times New Roman" w:eastAsia="Times New Roman" w:hAnsi="Times New Roman"/>
          <w:bCs/>
          <w:iCs/>
          <w:color w:val="000000"/>
          <w:lang w:eastAsia="ru-RU"/>
        </w:rPr>
        <w:t>Для раскрытия сущности и содержания понятия «качество среднего профессионального образования» нужна разработка и</w:t>
      </w:r>
      <w:r w:rsidR="00F71C63" w:rsidRPr="00FD480A">
        <w:rPr>
          <w:rFonts w:ascii="Times New Roman" w:eastAsia="Times New Roman" w:hAnsi="Times New Roman"/>
          <w:bCs/>
          <w:iCs/>
          <w:color w:val="000000"/>
          <w:lang w:eastAsia="ru-RU"/>
        </w:rPr>
        <w:t>нструментов и методов выявления</w:t>
      </w:r>
      <w:r w:rsidRPr="00FD480A">
        <w:rPr>
          <w:rFonts w:ascii="Times New Roman" w:eastAsia="Times New Roman" w:hAnsi="Times New Roman"/>
          <w:bCs/>
          <w:iCs/>
          <w:color w:val="000000"/>
          <w:lang w:eastAsia="ru-RU"/>
        </w:rPr>
        <w:t>, обобщения и изучения всех участников образовательного процесса.</w:t>
      </w:r>
    </w:p>
    <w:p w:rsidR="00F71C63" w:rsidRPr="00FD480A" w:rsidRDefault="00F71C63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Критерии качественной подготовки специалистов среднего звена </w:t>
      </w:r>
    </w:p>
    <w:p w:rsidR="00FD7C23" w:rsidRPr="00FD480A" w:rsidRDefault="00F71C63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включают:</w:t>
      </w:r>
    </w:p>
    <w:p w:rsidR="00F71C63" w:rsidRPr="00FD480A" w:rsidRDefault="00F71C63" w:rsidP="005B74F6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оценку и степень удовлетворенности потенциального работодателя;</w:t>
      </w:r>
    </w:p>
    <w:p w:rsidR="00F71C63" w:rsidRPr="00FD480A" w:rsidRDefault="00BA1435" w:rsidP="005B74F6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компетентность выпускников;</w:t>
      </w:r>
    </w:p>
    <w:p w:rsidR="00FD7C23" w:rsidRPr="00FD480A" w:rsidRDefault="00BA1435" w:rsidP="005B74F6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общество в целом, как основной «потребитель» выпускников.</w:t>
      </w:r>
    </w:p>
    <w:p w:rsidR="00BA1435" w:rsidRPr="00FD480A" w:rsidRDefault="00BA1435" w:rsidP="005B74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FD480A">
        <w:rPr>
          <w:rFonts w:ascii="Times New Roman" w:eastAsia="Times New Roman" w:hAnsi="Times New Roman"/>
          <w:bCs/>
          <w:iCs/>
          <w:color w:val="000000"/>
          <w:u w:val="single"/>
          <w:lang w:eastAsia="ru-RU"/>
        </w:rPr>
        <w:lastRenderedPageBreak/>
        <w:t xml:space="preserve">Во-вторых - </w:t>
      </w:r>
      <w:r w:rsidRPr="00FD480A">
        <w:rPr>
          <w:rFonts w:ascii="Times New Roman" w:eastAsia="Times New Roman" w:hAnsi="Times New Roman"/>
          <w:color w:val="000000"/>
          <w:u w:val="single"/>
          <w:lang w:eastAsia="ru-RU"/>
        </w:rPr>
        <w:t>управление качеством подготовки специалистов</w:t>
      </w:r>
      <w:r w:rsidR="00FD7C23" w:rsidRPr="00FD480A">
        <w:rPr>
          <w:rFonts w:ascii="Times New Roman" w:eastAsia="Times New Roman" w:hAnsi="Times New Roman"/>
          <w:color w:val="000000"/>
          <w:u w:val="single"/>
          <w:lang w:eastAsia="ru-RU"/>
        </w:rPr>
        <w:t>.</w:t>
      </w:r>
    </w:p>
    <w:p w:rsidR="00BA1435" w:rsidRPr="00FD480A" w:rsidRDefault="00FD7C23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 xml:space="preserve">  </w:t>
      </w:r>
      <w:r w:rsidR="00BA1435" w:rsidRPr="00FD480A">
        <w:rPr>
          <w:rFonts w:ascii="Times New Roman" w:eastAsia="Times New Roman" w:hAnsi="Times New Roman"/>
          <w:color w:val="000000"/>
          <w:lang w:eastAsia="ru-RU"/>
        </w:rPr>
        <w:t>Основную роль здесь играет оценочный компонент, в котором должно прослеживаться соответствие между изначально поставленными целями образования и их конечным результатом, что невозможно без грамотно построенного образовательного процесса, использования современных педагогических инструментов и постоянного мониторинга качества образования подготовленных специалистов. Для мониторинга необходимо разработать программу диагностики качества образования, программу подготовка специалистов (педагогов) и методики для постоянного совершенствования качества.</w:t>
      </w:r>
    </w:p>
    <w:p w:rsidR="00BA1435" w:rsidRPr="00FD480A" w:rsidRDefault="00BA1435" w:rsidP="005B74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bCs/>
          <w:iCs/>
          <w:color w:val="000000"/>
          <w:u w:val="single"/>
          <w:lang w:eastAsia="ru-RU"/>
        </w:rPr>
        <w:t>В-третьих</w:t>
      </w:r>
      <w:r w:rsidRPr="00FD480A">
        <w:rPr>
          <w:rFonts w:ascii="Times New Roman" w:eastAsia="Times New Roman" w:hAnsi="Times New Roman"/>
          <w:b/>
          <w:bCs/>
          <w:iCs/>
          <w:color w:val="000000"/>
          <w:lang w:eastAsia="ru-RU"/>
        </w:rPr>
        <w:t xml:space="preserve"> -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 xml:space="preserve">  </w:t>
      </w:r>
      <w:r w:rsidRPr="00FD480A">
        <w:rPr>
          <w:rFonts w:ascii="Times New Roman" w:eastAsia="Times New Roman" w:hAnsi="Times New Roman"/>
          <w:color w:val="000000"/>
          <w:lang w:eastAsia="ru-RU"/>
        </w:rPr>
        <w:t>рассмотреть ресурсы, имеющиеся в образовательном учреждении среднего профессионального образования для обеспечения качественного образовательного процесса. К таким ресурсам относится: мотивация педагогических работников</w:t>
      </w:r>
      <w:r w:rsidR="00DA261B" w:rsidRPr="00FD480A">
        <w:rPr>
          <w:rFonts w:ascii="Times New Roman" w:eastAsia="Times New Roman" w:hAnsi="Times New Roman"/>
          <w:color w:val="000000"/>
          <w:lang w:eastAsia="ru-RU"/>
        </w:rPr>
        <w:t>; постоянное кадровое совершенствование; разработка и доработка методического, информационного, материально-технического компонента; обеспечение современной нормативно-правовой и финансовой грамотностью.</w:t>
      </w:r>
    </w:p>
    <w:p w:rsidR="00BA1435" w:rsidRPr="00FD480A" w:rsidRDefault="00B0310E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В качественном образовании всегда есть несколько заинтересованных сторон, это может быть</w:t>
      </w:r>
      <w:r w:rsidR="003A64EC" w:rsidRPr="00FD480A">
        <w:rPr>
          <w:rFonts w:ascii="Times New Roman" w:eastAsia="Times New Roman" w:hAnsi="Times New Roman"/>
          <w:color w:val="000000"/>
          <w:lang w:eastAsia="ru-RU"/>
        </w:rPr>
        <w:t xml:space="preserve"> работодатель, общество, государство, сам студент, у каждого из них свой интерес и подход к оценке качественных показателей, которые несомненно будут отличаться друг от друга.</w:t>
      </w:r>
    </w:p>
    <w:p w:rsidR="003A64EC" w:rsidRPr="00FD480A" w:rsidRDefault="003A64EC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Работодателю важна профессиональная компетентность выпусника, коммуникабельность, умение работать в коллективе, ориентироваться в современной профессиональной ситуации, способность быстро реагировать на меняющуюся ситуацию, умение приспосабливаться и принимать самостоятельные решения, а также нести ответственность за эти решения.</w:t>
      </w:r>
    </w:p>
    <w:p w:rsidR="003A64EC" w:rsidRPr="00FD480A" w:rsidRDefault="003A64EC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Для выпускника важна конкуренция на рынке труда и востребованность его, как специалиста. Перспективы развития и профессионального роста.</w:t>
      </w:r>
    </w:p>
    <w:p w:rsidR="003A64EC" w:rsidRPr="00FD480A" w:rsidRDefault="003A64EC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Государство заинтересовано в специалистах разной профессиональной направленности.</w:t>
      </w:r>
    </w:p>
    <w:p w:rsidR="003A64EC" w:rsidRPr="00FD480A" w:rsidRDefault="003A64EC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В связи с такой обстановкой для повышения качественных показателей целесообразно объединить интересы заинтересованных сторон</w:t>
      </w:r>
      <w:r w:rsidR="00B72AA0" w:rsidRPr="00FD480A">
        <w:rPr>
          <w:rFonts w:ascii="Times New Roman" w:eastAsia="Times New Roman" w:hAnsi="Times New Roman"/>
          <w:color w:val="000000"/>
          <w:lang w:eastAsia="ru-RU"/>
        </w:rPr>
        <w:t>, привлекать работодателей к учебному процессу и управлению им, разработать процедуры оценки качественных образовательных показателей с учетом запросов работодателей и требований в отраслях.</w:t>
      </w:r>
    </w:p>
    <w:p w:rsidR="00FD7C23" w:rsidRPr="00FD480A" w:rsidRDefault="00B72AA0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Непосредственно, на примере нашего учебного учреждения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D480A">
        <w:rPr>
          <w:rFonts w:ascii="Times New Roman" w:eastAsia="Times New Roman" w:hAnsi="Times New Roman"/>
          <w:color w:val="000000"/>
          <w:lang w:eastAsia="ru-RU"/>
        </w:rPr>
        <w:t>документом, регламентирующим систему оценки качества образования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, </w:t>
      </w:r>
      <w:r w:rsidRPr="00FD480A">
        <w:rPr>
          <w:rFonts w:ascii="Times New Roman" w:eastAsia="Times New Roman" w:hAnsi="Times New Roman"/>
          <w:color w:val="000000"/>
          <w:lang w:eastAsia="ru-RU"/>
        </w:rPr>
        <w:t>стала разработанная в учреждении комплексная программа управления качеством обучения, состоящая из следующих составных частей:</w:t>
      </w:r>
    </w:p>
    <w:p w:rsidR="00FD7C23" w:rsidRPr="00FD480A" w:rsidRDefault="00FD7C23" w:rsidP="005B74F6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информационно-</w:t>
      </w:r>
      <w:r w:rsidR="00B72AA0" w:rsidRPr="00FD480A">
        <w:rPr>
          <w:rFonts w:ascii="Times New Roman" w:eastAsia="Times New Roman" w:hAnsi="Times New Roman"/>
          <w:color w:val="000000"/>
          <w:lang w:eastAsia="ru-RU"/>
        </w:rPr>
        <w:t>аналитическое обоснование программы</w:t>
      </w:r>
      <w:r w:rsidRPr="00FD480A">
        <w:rPr>
          <w:rFonts w:ascii="Times New Roman" w:eastAsia="Times New Roman" w:hAnsi="Times New Roman"/>
          <w:color w:val="000000"/>
          <w:lang w:eastAsia="ru-RU"/>
        </w:rPr>
        <w:t>, </w:t>
      </w:r>
    </w:p>
    <w:p w:rsidR="00B72AA0" w:rsidRPr="00FD480A" w:rsidRDefault="00B72AA0" w:rsidP="005B74F6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организационная структура управления качеством образования.</w:t>
      </w:r>
    </w:p>
    <w:p w:rsidR="00B72AA0" w:rsidRPr="00FD480A" w:rsidRDefault="00B72AA0" w:rsidP="005B74F6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методика управления качеством образования,</w:t>
      </w:r>
    </w:p>
    <w:p w:rsidR="00FD7C23" w:rsidRPr="00FD480A" w:rsidRDefault="00B72AA0" w:rsidP="005B74F6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технологическая карта мониторинга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.</w:t>
      </w:r>
    </w:p>
    <w:p w:rsidR="00FD7C23" w:rsidRPr="00FD480A" w:rsidRDefault="00B72AA0" w:rsidP="005B74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Программа разбита на следующие этапы:</w:t>
      </w:r>
    </w:p>
    <w:p w:rsidR="00FD7C23" w:rsidRPr="00FD480A" w:rsidRDefault="005B74F6" w:rsidP="005B74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1.</w:t>
      </w:r>
      <w:r w:rsidR="00B72AA0" w:rsidRPr="00FD480A">
        <w:rPr>
          <w:rFonts w:ascii="Times New Roman" w:eastAsia="Times New Roman" w:hAnsi="Times New Roman"/>
          <w:color w:val="000000"/>
          <w:lang w:eastAsia="ru-RU"/>
        </w:rPr>
        <w:t>Мониторинг (работа с «внешней средой»)</w:t>
      </w:r>
    </w:p>
    <w:p w:rsidR="00B72AA0" w:rsidRPr="00FD480A" w:rsidRDefault="00B72AA0" w:rsidP="005B74F6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маркетинговые исследования для выявления требований предъявляемых работодателями к выпускникам</w:t>
      </w:r>
      <w:r w:rsidR="000D4FAD" w:rsidRPr="00FD480A">
        <w:rPr>
          <w:rFonts w:ascii="Times New Roman" w:eastAsia="Times New Roman" w:hAnsi="Times New Roman"/>
          <w:color w:val="000000"/>
          <w:lang w:eastAsia="ru-RU"/>
        </w:rPr>
        <w:t>;</w:t>
      </w:r>
    </w:p>
    <w:p w:rsidR="000D4FAD" w:rsidRPr="00FD480A" w:rsidRDefault="000D4FAD" w:rsidP="005B74F6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вовлечение работодателей в процессы образования, управления и воспитания;</w:t>
      </w:r>
    </w:p>
    <w:p w:rsidR="000D4FAD" w:rsidRPr="00FD480A" w:rsidRDefault="000D4FAD" w:rsidP="005B74F6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Оценка качественных показателей с «внешней» стороны.</w:t>
      </w:r>
    </w:p>
    <w:p w:rsidR="00380E08" w:rsidRPr="00FD480A" w:rsidRDefault="00380E08" w:rsidP="005B74F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Проводимая совместно с работодателями работа дала возможность адаптации рабочих программ с учетом требований работодателей и современных разработок в профессиональной сфере.</w:t>
      </w:r>
    </w:p>
    <w:p w:rsidR="00552060" w:rsidRPr="005B74F6" w:rsidRDefault="00552060" w:rsidP="005B74F6">
      <w:pPr>
        <w:numPr>
          <w:ilvl w:val="0"/>
          <w:numId w:val="17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Cs/>
          <w:color w:val="000000"/>
          <w:u w:val="single"/>
          <w:lang w:eastAsia="ru-RU"/>
        </w:rPr>
      </w:pPr>
      <w:r w:rsidRPr="005B74F6">
        <w:rPr>
          <w:rFonts w:ascii="Times New Roman" w:eastAsia="Times New Roman" w:hAnsi="Times New Roman"/>
          <w:b/>
          <w:bCs/>
          <w:iCs/>
          <w:color w:val="000000"/>
          <w:u w:val="single"/>
          <w:lang w:eastAsia="ru-RU"/>
        </w:rPr>
        <w:t>Обеспечение качества образовательного процесса</w:t>
      </w:r>
      <w:r w:rsidR="000E6134" w:rsidRPr="005B74F6">
        <w:rPr>
          <w:rFonts w:ascii="Times New Roman" w:eastAsia="Times New Roman" w:hAnsi="Times New Roman"/>
          <w:color w:val="000000"/>
          <w:u w:val="single"/>
          <w:lang w:eastAsia="ru-RU"/>
        </w:rPr>
        <w:t>(Таблица1.1)</w:t>
      </w:r>
    </w:p>
    <w:p w:rsidR="001D7EF4" w:rsidRPr="00FD480A" w:rsidRDefault="001D7EF4" w:rsidP="005B74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480A">
        <w:rPr>
          <w:rFonts w:ascii="Times New Roman" w:eastAsia="Times New Roman" w:hAnsi="Times New Roman"/>
          <w:b/>
          <w:color w:val="000000"/>
          <w:lang w:eastAsia="ru-RU"/>
        </w:rPr>
        <w:t>Подготовительный этап</w:t>
      </w:r>
      <w:r w:rsidR="00DA534A" w:rsidRPr="00FD480A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1D7EF4" w:rsidRPr="00FD480A" w:rsidRDefault="001D7EF4" w:rsidP="005B74F6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Проведение диагностики образовательного процесса.</w:t>
      </w:r>
    </w:p>
    <w:p w:rsidR="001D7EF4" w:rsidRPr="00FD480A" w:rsidRDefault="001D7EF4" w:rsidP="005B74F6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 xml:space="preserve">Разработка программ с учетом требований работодателей. </w:t>
      </w:r>
    </w:p>
    <w:p w:rsidR="001D7EF4" w:rsidRPr="00FD480A" w:rsidRDefault="001D7EF4" w:rsidP="005B74F6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Постановка ориентиров дальнейшей деятельности.</w:t>
      </w:r>
    </w:p>
    <w:p w:rsidR="001D7EF4" w:rsidRPr="00FD480A" w:rsidRDefault="001D7EF4" w:rsidP="005B74F6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lastRenderedPageBreak/>
        <w:t>Проведение диагностики на разных этапах.</w:t>
      </w:r>
    </w:p>
    <w:p w:rsidR="001D7EF4" w:rsidRPr="00FD480A" w:rsidRDefault="001D7EF4" w:rsidP="005B74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480A">
        <w:rPr>
          <w:rFonts w:ascii="Times New Roman" w:eastAsia="Times New Roman" w:hAnsi="Times New Roman"/>
          <w:b/>
          <w:color w:val="000000"/>
          <w:lang w:eastAsia="ru-RU"/>
        </w:rPr>
        <w:t>Внедренческий этап</w:t>
      </w:r>
    </w:p>
    <w:p w:rsidR="001D7EF4" w:rsidRPr="00FD480A" w:rsidRDefault="001D7EF4" w:rsidP="005B74F6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Внедрение программы, постоянный мониторинг и диагностика</w:t>
      </w:r>
    </w:p>
    <w:p w:rsidR="001D7EF4" w:rsidRPr="00FD480A" w:rsidRDefault="001D7EF4" w:rsidP="005B74F6">
      <w:pPr>
        <w:spacing w:after="0" w:line="276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FD480A">
        <w:rPr>
          <w:rFonts w:ascii="Times New Roman" w:eastAsia="Times New Roman" w:hAnsi="Times New Roman"/>
          <w:b/>
          <w:color w:val="000000"/>
          <w:lang w:eastAsia="ru-RU"/>
        </w:rPr>
        <w:t>Заключительный этап</w:t>
      </w:r>
    </w:p>
    <w:p w:rsidR="001D7EF4" w:rsidRPr="00FD480A" w:rsidRDefault="001D7EF4" w:rsidP="005B74F6">
      <w:pPr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Проведение аналитических мероприятий на всех этапах выполнения проекта.</w:t>
      </w:r>
    </w:p>
    <w:p w:rsidR="001D7EF4" w:rsidRPr="00FD480A" w:rsidRDefault="001D7EF4" w:rsidP="005B74F6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Обобщение, систематизация информации.</w:t>
      </w:r>
    </w:p>
    <w:p w:rsidR="00FD7C23" w:rsidRPr="00FD480A" w:rsidRDefault="005B74F6" w:rsidP="005B74F6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</w:t>
      </w:r>
      <w:r w:rsidR="001D7EF4" w:rsidRPr="00FD480A">
        <w:rPr>
          <w:rFonts w:ascii="Times New Roman" w:eastAsia="Times New Roman" w:hAnsi="Times New Roman"/>
          <w:color w:val="000000"/>
          <w:lang w:eastAsia="ru-RU"/>
        </w:rPr>
        <w:t xml:space="preserve">езультаты имеют положительную </w:t>
      </w:r>
      <w:r>
        <w:rPr>
          <w:rFonts w:ascii="Times New Roman" w:eastAsia="Times New Roman" w:hAnsi="Times New Roman"/>
          <w:color w:val="000000"/>
          <w:lang w:eastAsia="ru-RU"/>
        </w:rPr>
        <w:t>т</w:t>
      </w:r>
      <w:r w:rsidRPr="00FD480A">
        <w:rPr>
          <w:rFonts w:ascii="Times New Roman" w:eastAsia="Times New Roman" w:hAnsi="Times New Roman"/>
          <w:color w:val="000000"/>
          <w:lang w:eastAsia="ru-RU"/>
        </w:rPr>
        <w:t>енденцию в соответствии с принципами менеджмента качества, установленными в ГОСТ Р ИСО 9001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:2008: </w:t>
      </w:r>
    </w:p>
    <w:p w:rsidR="00FD7C23" w:rsidRPr="00FD480A" w:rsidRDefault="005B74F6" w:rsidP="005B74F6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ориентация на потребителя продукции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, </w:t>
      </w:r>
    </w:p>
    <w:p w:rsidR="00FD7C23" w:rsidRPr="00FD480A" w:rsidRDefault="005B74F6" w:rsidP="005B74F6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лидерство руководителя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, </w:t>
      </w:r>
    </w:p>
    <w:p w:rsidR="00FD7C23" w:rsidRPr="00FD480A" w:rsidRDefault="005B74F6" w:rsidP="005B74F6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вовлечение работников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, </w:t>
      </w:r>
    </w:p>
    <w:p w:rsidR="00FD7C23" w:rsidRPr="00FD480A" w:rsidRDefault="005B74F6" w:rsidP="005B74F6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процессный подход к деятельности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, </w:t>
      </w:r>
    </w:p>
    <w:p w:rsidR="00FD7C23" w:rsidRPr="00FD480A" w:rsidRDefault="005B74F6" w:rsidP="005B74F6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системный подход к менеджменту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, </w:t>
      </w:r>
    </w:p>
    <w:p w:rsidR="00FD7C23" w:rsidRPr="00FD480A" w:rsidRDefault="005B74F6" w:rsidP="005B74F6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постоянное улучшение результатов деятельности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, </w:t>
      </w:r>
    </w:p>
    <w:p w:rsidR="00FD7C23" w:rsidRPr="00FD480A" w:rsidRDefault="005B74F6" w:rsidP="005B74F6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принятие решений, основанных на фактах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, </w:t>
      </w:r>
    </w:p>
    <w:p w:rsidR="00FD7C23" w:rsidRPr="00FD480A" w:rsidRDefault="005B74F6" w:rsidP="005B74F6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взаимовыгодные отношения с поставщиками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.</w:t>
      </w:r>
    </w:p>
    <w:p w:rsidR="001D7EF4" w:rsidRPr="00FD480A" w:rsidRDefault="001D7EF4" w:rsidP="005B74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Для достижения этих результативных показателей выделены, интегрированы и отработаны:</w:t>
      </w:r>
    </w:p>
    <w:p w:rsidR="00FD7C23" w:rsidRPr="00FD480A" w:rsidRDefault="00DA534A" w:rsidP="005B74F6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виды деятельности, процессы и работы на которых ориентирована программа менеджмента качества;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D7C23" w:rsidRPr="00FD480A" w:rsidRDefault="00DA534A" w:rsidP="005B74F6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взаимосвязь и планомерность этих процессов;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E4742" w:rsidRPr="00FD480A" w:rsidRDefault="00BE4742" w:rsidP="005B74F6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F212B" w:rsidRPr="00FD480A" w:rsidRDefault="00AF212B" w:rsidP="005B74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-719"/>
        <w:tblW w:w="11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2577"/>
        <w:gridCol w:w="3727"/>
        <w:gridCol w:w="2551"/>
      </w:tblGrid>
      <w:tr w:rsidR="005B74F6" w:rsidRPr="00FD480A" w:rsidTr="00663F78">
        <w:tc>
          <w:tcPr>
            <w:tcW w:w="1104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B74F6" w:rsidRPr="00FD480A" w:rsidRDefault="005B74F6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Таблица 1.1 Программа управления качеством образования в образовательных организациях среднего профессионального образования с учетом требований ФГОС.</w:t>
            </w:r>
          </w:p>
        </w:tc>
      </w:tr>
      <w:tr w:rsidR="00AF212B" w:rsidRPr="00FD480A" w:rsidTr="005B74F6">
        <w:tc>
          <w:tcPr>
            <w:tcW w:w="219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25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lang w:eastAsia="ru-RU"/>
              </w:rPr>
              <w:t>Направление</w:t>
            </w:r>
          </w:p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lang w:eastAsia="ru-RU"/>
              </w:rPr>
              <w:t>деятельности</w:t>
            </w:r>
          </w:p>
        </w:tc>
        <w:tc>
          <w:tcPr>
            <w:tcW w:w="627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lang w:eastAsia="ru-RU"/>
              </w:rPr>
              <w:t>Сроки реализации программы</w:t>
            </w:r>
          </w:p>
        </w:tc>
      </w:tr>
      <w:tr w:rsidR="005B74F6" w:rsidRPr="00FD480A" w:rsidTr="005B74F6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B74F6" w:rsidRPr="00FD480A" w:rsidRDefault="005B74F6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B74F6" w:rsidRPr="00FD480A" w:rsidRDefault="005B74F6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72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74F6" w:rsidRPr="00FD480A" w:rsidRDefault="005B74F6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74F6" w:rsidRPr="00FD480A" w:rsidRDefault="005B74F6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lang w:eastAsia="ru-RU"/>
              </w:rPr>
              <w:t>Месяц,</w:t>
            </w:r>
          </w:p>
          <w:p w:rsidR="005B74F6" w:rsidRPr="00FD480A" w:rsidRDefault="005B74F6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  <w:p w:rsidR="005B74F6" w:rsidRPr="00FD480A" w:rsidRDefault="005B74F6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2022-2023</w:t>
            </w:r>
            <w:r w:rsidRPr="00FD480A">
              <w:rPr>
                <w:rFonts w:ascii="Times New Roman" w:eastAsia="Times New Roman" w:hAnsi="Times New Roman"/>
                <w:b/>
                <w:lang w:eastAsia="ru-RU"/>
              </w:rPr>
              <w:t xml:space="preserve"> учебный год</w:t>
            </w:r>
          </w:p>
        </w:tc>
      </w:tr>
      <w:tr w:rsidR="005B74F6" w:rsidRPr="00FD480A" w:rsidTr="005B74F6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B74F6" w:rsidRPr="00FD480A" w:rsidRDefault="005B74F6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74F6" w:rsidRPr="00FD480A" w:rsidRDefault="005B74F6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lang w:eastAsia="ru-RU"/>
              </w:rPr>
              <w:t>Направление</w:t>
            </w:r>
          </w:p>
        </w:tc>
        <w:tc>
          <w:tcPr>
            <w:tcW w:w="372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74F6" w:rsidRPr="00FD480A" w:rsidRDefault="005B74F6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74F6" w:rsidRPr="00FD480A" w:rsidRDefault="005B74F6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lang w:eastAsia="ru-RU"/>
              </w:rPr>
              <w:t>Месяц, год</w:t>
            </w:r>
          </w:p>
        </w:tc>
      </w:tr>
      <w:tr w:rsidR="00AF212B" w:rsidRPr="00FD480A" w:rsidTr="00AF212B">
        <w:tc>
          <w:tcPr>
            <w:tcW w:w="219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Подготови-тельный этап</w:t>
            </w:r>
          </w:p>
        </w:tc>
        <w:tc>
          <w:tcPr>
            <w:tcW w:w="25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диагностики образовательного процесса.</w:t>
            </w:r>
          </w:p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программ с учетом требований работодателей. </w:t>
            </w:r>
          </w:p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Постановка ориентиров дальнейшей деятельности.</w:t>
            </w:r>
          </w:p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 диагностики на разных этапах.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Пересмотр, доработка и совершенствование нормативно-правовая база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Сентябрь-декабрь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</w:t>
            </w:r>
          </w:p>
        </w:tc>
      </w:tr>
      <w:tr w:rsidR="00AF212B" w:rsidRPr="00FD480A" w:rsidTr="00AF212B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Выделение стратегических и тактических направлений в области совершенствования качества образования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Сентябрь-декабрь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</w:t>
            </w:r>
          </w:p>
        </w:tc>
      </w:tr>
      <w:tr w:rsidR="00AF212B" w:rsidRPr="00FD480A" w:rsidTr="00AF212B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Утверждение проекта разработанной программы управления качеством образования.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Январь-февраль 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</w:t>
            </w:r>
          </w:p>
        </w:tc>
      </w:tr>
      <w:tr w:rsidR="00AF212B" w:rsidRPr="00FD480A" w:rsidTr="00AF212B">
        <w:tc>
          <w:tcPr>
            <w:tcW w:w="219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Внедренческий этап</w:t>
            </w:r>
          </w:p>
        </w:tc>
        <w:tc>
          <w:tcPr>
            <w:tcW w:w="25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программы, постоянный мониторинг и диагностика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Решение по удовлетворению потребностей обучающихся, их родителей, работодателей. Формирование навыков, умений, компетенций и знаний необходимых работодателям и выпускникам.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Сентябрь-декабрь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г.,</w:t>
            </w:r>
          </w:p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Январь-август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</w:tr>
      <w:tr w:rsidR="00AF212B" w:rsidRPr="00FD480A" w:rsidTr="00AF212B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внеурочных мероприятий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Сентябрь-декабрь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г.,</w:t>
            </w:r>
          </w:p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Январь-август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</w:tr>
      <w:tr w:rsidR="00AF212B" w:rsidRPr="00FD480A" w:rsidTr="00AF212B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конференций, олимпиад, мероприятий творческой и научной направленности.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Сентябрь-декабрь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г.,</w:t>
            </w:r>
          </w:p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Январь-август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</w:tr>
      <w:tr w:rsidR="00AF212B" w:rsidRPr="00FD480A" w:rsidTr="00AF212B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Рассмотрение и проверка диагностики проводимой в течение учебного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Сентябрь-декабрь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г.,</w:t>
            </w:r>
          </w:p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Январь-август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</w:tr>
      <w:tr w:rsidR="00AF212B" w:rsidRPr="00FD480A" w:rsidTr="00AF212B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тактических и стратегических шагов по повышению качества образования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Сентябрь-декабрь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г.,</w:t>
            </w:r>
          </w:p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Январь-август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</w:tr>
      <w:tr w:rsidR="00AF212B" w:rsidRPr="00FD480A" w:rsidTr="00AF212B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Постоянное методическое сопровождение и координирование действий (коррекция) педагогов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Сентябрь-декабрь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г.,</w:t>
            </w:r>
          </w:p>
        </w:tc>
      </w:tr>
      <w:tr w:rsidR="00AF212B" w:rsidRPr="00FD480A" w:rsidTr="00AF212B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квалификационного уровня педагогов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Январь-август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</w:tr>
      <w:tr w:rsidR="00AF212B" w:rsidRPr="00FD480A" w:rsidTr="00AF212B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инновационных программ ранней профориентации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Сентябрь-декабрь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г.,</w:t>
            </w:r>
          </w:p>
        </w:tc>
      </w:tr>
      <w:tr w:rsidR="00AF212B" w:rsidRPr="00FD480A" w:rsidTr="00AF212B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Координирование системы обеспечения качества образования:</w:t>
            </w:r>
          </w:p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 разработка системы мониторинга и оценки;</w:t>
            </w:r>
          </w:p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-обновление и укрепление материально-технического и информационно-технического обеспечения;</w:t>
            </w:r>
          </w:p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- мониторинг финансового обеспечения.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Январь-август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</w:tr>
      <w:tr w:rsidR="00AF212B" w:rsidRPr="00FD480A" w:rsidTr="00AF212B">
        <w:tc>
          <w:tcPr>
            <w:tcW w:w="2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преемственности образования и партнерства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Сентябрь-декабрь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г.,</w:t>
            </w:r>
          </w:p>
        </w:tc>
      </w:tr>
      <w:tr w:rsidR="00AF212B" w:rsidRPr="00FD480A" w:rsidTr="00AF212B">
        <w:trPr>
          <w:trHeight w:val="3090"/>
        </w:trPr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Заключитель-</w:t>
            </w:r>
          </w:p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ный этап</w:t>
            </w:r>
          </w:p>
        </w:tc>
        <w:tc>
          <w:tcPr>
            <w:tcW w:w="2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аналитических мероприятий на всех этапах выполнения проекта.</w:t>
            </w:r>
          </w:p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Обобщение, систематизация информации. 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12B" w:rsidRPr="00FD480A" w:rsidRDefault="00AF212B" w:rsidP="005B74F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анализа результативности выполнения этапов программы, итоговая диагностика.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Сентябрь-декабрь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>г.,</w:t>
            </w:r>
          </w:p>
          <w:p w:rsidR="00AF212B" w:rsidRPr="00FD480A" w:rsidRDefault="00AF212B" w:rsidP="005B74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Январь-август </w:t>
            </w:r>
            <w:r w:rsidR="0047136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Pr="00FD48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</w:tr>
    </w:tbl>
    <w:p w:rsidR="00FD7C23" w:rsidRPr="00FD480A" w:rsidRDefault="00FD7C23" w:rsidP="005B74F6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 xml:space="preserve">3)  </w:t>
      </w:r>
      <w:r w:rsidR="00DA534A" w:rsidRPr="00FD480A">
        <w:rPr>
          <w:rFonts w:ascii="Times New Roman" w:eastAsia="Times New Roman" w:hAnsi="Times New Roman"/>
          <w:color w:val="000000"/>
          <w:lang w:eastAsia="ru-RU"/>
        </w:rPr>
        <w:t>основные критерии, показатели результативности, их диагностика и мониторинг;</w:t>
      </w:r>
      <w:r w:rsidRPr="00FD480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D7C23" w:rsidRPr="00FD480A" w:rsidRDefault="00FD7C23" w:rsidP="005B74F6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 xml:space="preserve">4)  </w:t>
      </w:r>
      <w:r w:rsidR="00DA534A" w:rsidRPr="00FD480A">
        <w:rPr>
          <w:rFonts w:ascii="Times New Roman" w:eastAsia="Times New Roman" w:hAnsi="Times New Roman"/>
          <w:color w:val="000000"/>
          <w:lang w:eastAsia="ru-RU"/>
        </w:rPr>
        <w:t>информационное, техническое и методическое обеспечение процессов.</w:t>
      </w:r>
    </w:p>
    <w:p w:rsidR="00DA534A" w:rsidRPr="00FD480A" w:rsidRDefault="00DA534A" w:rsidP="005B74F6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Проведение анализа результативности выполнения этапов программы, итоговая диагностика.</w:t>
      </w:r>
    </w:p>
    <w:p w:rsidR="00AF212B" w:rsidRPr="00FD480A" w:rsidRDefault="00DA534A" w:rsidP="005B74F6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480A">
        <w:rPr>
          <w:rFonts w:ascii="Times New Roman" w:eastAsia="Times New Roman" w:hAnsi="Times New Roman"/>
          <w:color w:val="000000"/>
          <w:lang w:eastAsia="ru-RU"/>
        </w:rPr>
        <w:t>В качестве вывода можно сказать, что для</w:t>
      </w:r>
      <w:r w:rsidR="00FD7C23" w:rsidRPr="00FD480A">
        <w:rPr>
          <w:rFonts w:ascii="Times New Roman" w:eastAsia="Times New Roman" w:hAnsi="Times New Roman"/>
          <w:color w:val="000000"/>
          <w:lang w:eastAsia="ru-RU"/>
        </w:rPr>
        <w:t xml:space="preserve"> ФГОС СПО </w:t>
      </w:r>
      <w:r w:rsidRPr="00FD480A">
        <w:rPr>
          <w:rFonts w:ascii="Times New Roman" w:eastAsia="Times New Roman" w:hAnsi="Times New Roman"/>
          <w:color w:val="000000"/>
          <w:lang w:eastAsia="ru-RU"/>
        </w:rPr>
        <w:t>пришло время исполнить современную миссию и сделать профессиональное образование качественным, доступным и востребованным.</w:t>
      </w:r>
    </w:p>
    <w:p w:rsidR="0047136F" w:rsidRDefault="0047136F" w:rsidP="005B74F6">
      <w:pPr>
        <w:spacing w:line="276" w:lineRule="auto"/>
        <w:rPr>
          <w:rFonts w:ascii="Times New Roman" w:hAnsi="Times New Roman"/>
        </w:rPr>
        <w:sectPr w:rsidR="0047136F" w:rsidSect="00FD480A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52D45" w:rsidRDefault="00DA534A" w:rsidP="0047136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7136F">
        <w:rPr>
          <w:rFonts w:ascii="Times New Roman" w:hAnsi="Times New Roman"/>
          <w:b/>
          <w:sz w:val="28"/>
          <w:szCs w:val="28"/>
        </w:rPr>
        <w:lastRenderedPageBreak/>
        <w:t>Схема 1.1 Формирование качества образования</w:t>
      </w:r>
    </w:p>
    <w:p w:rsidR="0047136F" w:rsidRPr="0047136F" w:rsidRDefault="0047136F" w:rsidP="0047136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D45" w:rsidRPr="00FD480A" w:rsidRDefault="0047136F" w:rsidP="005B74F6">
      <w:pPr>
        <w:spacing w:line="276" w:lineRule="auto"/>
        <w:ind w:left="-1276"/>
        <w:jc w:val="center"/>
        <w:rPr>
          <w:rFonts w:ascii="Times New Roman" w:hAnsi="Times New Roman"/>
        </w:rPr>
      </w:pPr>
      <w:r w:rsidRPr="00FD480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229725" cy="4276725"/>
            <wp:effectExtent l="0" t="0" r="0" b="0"/>
            <wp:docPr id="1" name="Рисунок 5" descr="C:\Users\user\Pictures\1234567890\940ecc32628fbeba7efb76b9b73cd75b7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Pictures\1234567890\940ecc32628fbeba7efb76b9b73cd75b76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D45" w:rsidRPr="00FD480A" w:rsidSect="0047136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3D" w:rsidRDefault="00BB333D" w:rsidP="00FD7C23">
      <w:pPr>
        <w:spacing w:after="0" w:line="240" w:lineRule="auto"/>
      </w:pPr>
      <w:r>
        <w:separator/>
      </w:r>
    </w:p>
  </w:endnote>
  <w:endnote w:type="continuationSeparator" w:id="0">
    <w:p w:rsidR="00BB333D" w:rsidRDefault="00BB333D" w:rsidP="00FD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0A" w:rsidRDefault="00FD480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872E0">
      <w:rPr>
        <w:noProof/>
      </w:rPr>
      <w:t>1</w:t>
    </w:r>
    <w:r>
      <w:fldChar w:fldCharType="end"/>
    </w:r>
  </w:p>
  <w:p w:rsidR="00FD480A" w:rsidRDefault="00FD480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3D" w:rsidRDefault="00BB333D" w:rsidP="00FD7C23">
      <w:pPr>
        <w:spacing w:after="0" w:line="240" w:lineRule="auto"/>
      </w:pPr>
      <w:r>
        <w:separator/>
      </w:r>
    </w:p>
  </w:footnote>
  <w:footnote w:type="continuationSeparator" w:id="0">
    <w:p w:rsidR="00BB333D" w:rsidRDefault="00BB333D" w:rsidP="00FD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DCF"/>
    <w:multiLevelType w:val="multilevel"/>
    <w:tmpl w:val="1BB43D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E1065"/>
    <w:multiLevelType w:val="multilevel"/>
    <w:tmpl w:val="197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B6D1F"/>
    <w:multiLevelType w:val="hybridMultilevel"/>
    <w:tmpl w:val="27F43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3B4"/>
    <w:multiLevelType w:val="hybridMultilevel"/>
    <w:tmpl w:val="19D679E4"/>
    <w:lvl w:ilvl="0" w:tplc="8FAE71E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0E0790"/>
    <w:multiLevelType w:val="multilevel"/>
    <w:tmpl w:val="197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E09CA"/>
    <w:multiLevelType w:val="multilevel"/>
    <w:tmpl w:val="965CAC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140C2"/>
    <w:multiLevelType w:val="multilevel"/>
    <w:tmpl w:val="385232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92EAA"/>
    <w:multiLevelType w:val="multilevel"/>
    <w:tmpl w:val="456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96043"/>
    <w:multiLevelType w:val="hybridMultilevel"/>
    <w:tmpl w:val="4ABC6C14"/>
    <w:lvl w:ilvl="0" w:tplc="2F0A1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E2187"/>
    <w:multiLevelType w:val="multilevel"/>
    <w:tmpl w:val="E7A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82986"/>
    <w:multiLevelType w:val="hybridMultilevel"/>
    <w:tmpl w:val="4FFE5BE2"/>
    <w:lvl w:ilvl="0" w:tplc="2F0A10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DE6083"/>
    <w:multiLevelType w:val="multilevel"/>
    <w:tmpl w:val="82C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609B0"/>
    <w:multiLevelType w:val="multilevel"/>
    <w:tmpl w:val="B46ADE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15902"/>
    <w:multiLevelType w:val="hybridMultilevel"/>
    <w:tmpl w:val="CA8E3300"/>
    <w:lvl w:ilvl="0" w:tplc="59580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367E5"/>
    <w:multiLevelType w:val="hybridMultilevel"/>
    <w:tmpl w:val="3668A43C"/>
    <w:lvl w:ilvl="0" w:tplc="59580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51F89"/>
    <w:multiLevelType w:val="hybridMultilevel"/>
    <w:tmpl w:val="B2F03F3C"/>
    <w:lvl w:ilvl="0" w:tplc="1B560C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A4FB7"/>
    <w:multiLevelType w:val="multilevel"/>
    <w:tmpl w:val="AB36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57047"/>
    <w:multiLevelType w:val="multilevel"/>
    <w:tmpl w:val="455428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36E66"/>
    <w:multiLevelType w:val="multilevel"/>
    <w:tmpl w:val="2D02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469D1"/>
    <w:multiLevelType w:val="multilevel"/>
    <w:tmpl w:val="9610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341C4"/>
    <w:multiLevelType w:val="hybridMultilevel"/>
    <w:tmpl w:val="E69C726E"/>
    <w:lvl w:ilvl="0" w:tplc="59580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E632C"/>
    <w:multiLevelType w:val="hybridMultilevel"/>
    <w:tmpl w:val="5610F81E"/>
    <w:lvl w:ilvl="0" w:tplc="B2DC5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62EE"/>
    <w:multiLevelType w:val="multilevel"/>
    <w:tmpl w:val="197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461D2A"/>
    <w:multiLevelType w:val="multilevel"/>
    <w:tmpl w:val="1CCE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22BBA"/>
    <w:multiLevelType w:val="multilevel"/>
    <w:tmpl w:val="6D967E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014E36"/>
    <w:multiLevelType w:val="multilevel"/>
    <w:tmpl w:val="43A4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4422E"/>
    <w:multiLevelType w:val="multilevel"/>
    <w:tmpl w:val="3E7C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280834"/>
    <w:multiLevelType w:val="multilevel"/>
    <w:tmpl w:val="3E7C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B6CAF"/>
    <w:multiLevelType w:val="multilevel"/>
    <w:tmpl w:val="197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9"/>
  </w:num>
  <w:num w:numId="5">
    <w:abstractNumId w:val="18"/>
  </w:num>
  <w:num w:numId="6">
    <w:abstractNumId w:val="11"/>
  </w:num>
  <w:num w:numId="7">
    <w:abstractNumId w:val="16"/>
  </w:num>
  <w:num w:numId="8">
    <w:abstractNumId w:val="26"/>
  </w:num>
  <w:num w:numId="9">
    <w:abstractNumId w:val="7"/>
  </w:num>
  <w:num w:numId="10">
    <w:abstractNumId w:val="19"/>
  </w:num>
  <w:num w:numId="11">
    <w:abstractNumId w:val="21"/>
  </w:num>
  <w:num w:numId="12">
    <w:abstractNumId w:val="27"/>
  </w:num>
  <w:num w:numId="13">
    <w:abstractNumId w:val="4"/>
  </w:num>
  <w:num w:numId="14">
    <w:abstractNumId w:val="22"/>
  </w:num>
  <w:num w:numId="15">
    <w:abstractNumId w:val="1"/>
  </w:num>
  <w:num w:numId="16">
    <w:abstractNumId w:val="28"/>
  </w:num>
  <w:num w:numId="17">
    <w:abstractNumId w:val="15"/>
  </w:num>
  <w:num w:numId="18">
    <w:abstractNumId w:val="10"/>
  </w:num>
  <w:num w:numId="19">
    <w:abstractNumId w:val="8"/>
  </w:num>
  <w:num w:numId="20">
    <w:abstractNumId w:val="24"/>
  </w:num>
  <w:num w:numId="21">
    <w:abstractNumId w:val="20"/>
  </w:num>
  <w:num w:numId="22">
    <w:abstractNumId w:val="17"/>
  </w:num>
  <w:num w:numId="23">
    <w:abstractNumId w:val="12"/>
  </w:num>
  <w:num w:numId="24">
    <w:abstractNumId w:val="6"/>
  </w:num>
  <w:num w:numId="25">
    <w:abstractNumId w:val="0"/>
  </w:num>
  <w:num w:numId="26">
    <w:abstractNumId w:val="13"/>
  </w:num>
  <w:num w:numId="27">
    <w:abstractNumId w:val="2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47"/>
    <w:rsid w:val="00046EE4"/>
    <w:rsid w:val="000D4FAD"/>
    <w:rsid w:val="000E6134"/>
    <w:rsid w:val="0012027F"/>
    <w:rsid w:val="001A0F2D"/>
    <w:rsid w:val="001D7EF4"/>
    <w:rsid w:val="00245D03"/>
    <w:rsid w:val="00262529"/>
    <w:rsid w:val="003214FF"/>
    <w:rsid w:val="00380E08"/>
    <w:rsid w:val="003A64EC"/>
    <w:rsid w:val="0044548B"/>
    <w:rsid w:val="004515AE"/>
    <w:rsid w:val="00452D45"/>
    <w:rsid w:val="00456682"/>
    <w:rsid w:val="0047136F"/>
    <w:rsid w:val="00515CDD"/>
    <w:rsid w:val="00552060"/>
    <w:rsid w:val="005B74F6"/>
    <w:rsid w:val="00610F27"/>
    <w:rsid w:val="0066607C"/>
    <w:rsid w:val="00687255"/>
    <w:rsid w:val="006C3CEE"/>
    <w:rsid w:val="007C0973"/>
    <w:rsid w:val="008872E0"/>
    <w:rsid w:val="00927BE8"/>
    <w:rsid w:val="00A42447"/>
    <w:rsid w:val="00AF212B"/>
    <w:rsid w:val="00B0310E"/>
    <w:rsid w:val="00B72AA0"/>
    <w:rsid w:val="00BA1435"/>
    <w:rsid w:val="00BB333D"/>
    <w:rsid w:val="00BE4742"/>
    <w:rsid w:val="00DA261B"/>
    <w:rsid w:val="00DA534A"/>
    <w:rsid w:val="00E26FA7"/>
    <w:rsid w:val="00E55F94"/>
    <w:rsid w:val="00ED2F14"/>
    <w:rsid w:val="00F26A29"/>
    <w:rsid w:val="00F71C63"/>
    <w:rsid w:val="00FB2904"/>
    <w:rsid w:val="00FD480A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6D19"/>
  <w15:chartTrackingRefBased/>
  <w15:docId w15:val="{D6CC9ECD-9E60-4AEA-A6EA-EEBB4936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0F2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D7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D7C23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FD7C23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FD7C23"/>
    <w:rPr>
      <w:lang w:eastAsia="en-US"/>
    </w:rPr>
  </w:style>
  <w:style w:type="character" w:styleId="a6">
    <w:name w:val="endnote reference"/>
    <w:uiPriority w:val="99"/>
    <w:semiHidden/>
    <w:unhideWhenUsed/>
    <w:rsid w:val="00FD7C2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4548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44548B"/>
    <w:rPr>
      <w:lang w:eastAsia="en-US"/>
    </w:rPr>
  </w:style>
  <w:style w:type="character" w:styleId="a9">
    <w:name w:val="footnote reference"/>
    <w:uiPriority w:val="99"/>
    <w:semiHidden/>
    <w:unhideWhenUsed/>
    <w:rsid w:val="0044548B"/>
    <w:rPr>
      <w:vertAlign w:val="superscript"/>
    </w:rPr>
  </w:style>
  <w:style w:type="character" w:customStyle="1" w:styleId="10">
    <w:name w:val="Заголовок 1 Знак"/>
    <w:link w:val="1"/>
    <w:uiPriority w:val="9"/>
    <w:rsid w:val="00610F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a">
    <w:name w:val="header"/>
    <w:basedOn w:val="a"/>
    <w:link w:val="ab"/>
    <w:uiPriority w:val="99"/>
    <w:unhideWhenUsed/>
    <w:rsid w:val="00AF21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212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F21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F212B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8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72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0609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010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A3B6-B2A5-433D-9B63-FEC82B35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ukc</cp:lastModifiedBy>
  <cp:revision>2</cp:revision>
  <cp:lastPrinted>2024-01-19T06:54:00Z</cp:lastPrinted>
  <dcterms:created xsi:type="dcterms:W3CDTF">2024-01-19T06:55:00Z</dcterms:created>
  <dcterms:modified xsi:type="dcterms:W3CDTF">2024-01-19T06:55:00Z</dcterms:modified>
</cp:coreProperties>
</file>