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rFonts w:cs="Times New Roman" w:ascii="Times New Roman" w:hAnsi="Times New Roman"/>
          <w:color w:val="FF0000"/>
          <w:sz w:val="40"/>
          <w:szCs w:val="40"/>
        </w:rPr>
        <w:t xml:space="preserve">              </w:t>
      </w:r>
      <w:r>
        <w:rPr>
          <w:rFonts w:cs="Times New Roman" w:ascii="Times New Roman" w:hAnsi="Times New Roman"/>
          <w:color w:val="FF0000"/>
          <w:sz w:val="40"/>
          <w:szCs w:val="40"/>
        </w:rPr>
        <w:t>Инструктаж</w:t>
      </w:r>
      <w:r>
        <w:rPr>
          <w:rFonts w:cs="Times New Roman" w:ascii="Times New Roman" w:hAnsi="Times New Roman"/>
          <w:color w:val="FF0000"/>
          <w:sz w:val="40"/>
          <w:szCs w:val="40"/>
        </w:rPr>
        <w:t xml:space="preserve"> для родителей-водителей</w:t>
      </w:r>
    </w:p>
    <w:p>
      <w:pPr>
        <w:pStyle w:val="Normal"/>
        <w:rPr>
          <w:rFonts w:ascii="Times New Roman" w:hAnsi="Times New Roman" w:cs="Times New Roman"/>
          <w:color w:val="7030A0"/>
          <w:sz w:val="32"/>
          <w:szCs w:val="32"/>
        </w:rPr>
      </w:pPr>
      <w:r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-448310</wp:posOffset>
            </wp:positionH>
            <wp:positionV relativeFrom="paragraph">
              <wp:posOffset>240665</wp:posOffset>
            </wp:positionV>
            <wp:extent cx="2672715" cy="2065655"/>
            <wp:effectExtent l="0" t="0" r="0" b="0"/>
            <wp:wrapTight wrapText="bothSides">
              <wp:wrapPolygon edited="0">
                <wp:start x="-35" y="0"/>
                <wp:lineTo x="-35" y="21277"/>
                <wp:lineTo x="21383" y="21277"/>
                <wp:lineTo x="21383" y="0"/>
                <wp:lineTo x="-35" y="0"/>
              </wp:wrapPolygon>
            </wp:wrapTight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color w:val="7030A0"/>
          <w:sz w:val="32"/>
          <w:szCs w:val="32"/>
        </w:rPr>
        <w:t xml:space="preserve"> </w:t>
      </w:r>
      <w:r>
        <w:rPr>
          <w:rFonts w:cs="Times New Roman" w:ascii="Times New Roman" w:hAnsi="Times New Roman"/>
          <w:color w:val="7030A0"/>
          <w:sz w:val="32"/>
          <w:szCs w:val="32"/>
        </w:rPr>
        <w:t xml:space="preserve">                            </w:t>
      </w:r>
      <w:r>
        <w:rPr>
          <w:rFonts w:cs="Times New Roman" w:ascii="Times New Roman" w:hAnsi="Times New Roman"/>
          <w:color w:val="7030A0"/>
          <w:sz w:val="32"/>
          <w:szCs w:val="32"/>
        </w:rPr>
        <w:t>«Правила перевозки детей в автомобиле»</w:t>
      </w:r>
    </w:p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drawing>
          <wp:anchor behindDoc="0" distT="0" distB="4445" distL="114300" distR="114300" simplePos="0" locked="0" layoutInCell="1" allowOverlap="1" relativeHeight="3">
            <wp:simplePos x="0" y="0"/>
            <wp:positionH relativeFrom="column">
              <wp:posOffset>1661160</wp:posOffset>
            </wp:positionH>
            <wp:positionV relativeFrom="paragraph">
              <wp:posOffset>1273810</wp:posOffset>
            </wp:positionV>
            <wp:extent cx="1837055" cy="2224405"/>
            <wp:effectExtent l="0" t="0" r="0" b="0"/>
            <wp:wrapTight wrapText="bothSides">
              <wp:wrapPolygon edited="0">
                <wp:start x="-47" y="0"/>
                <wp:lineTo x="-47" y="21410"/>
                <wp:lineTo x="21267" y="21410"/>
                <wp:lineTo x="21267" y="0"/>
                <wp:lineTo x="-47" y="0"/>
              </wp:wrapPolygon>
            </wp:wrapTight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32"/>
          <w:szCs w:val="32"/>
        </w:rPr>
        <w:t>-</w:t>
      </w:r>
      <w:r>
        <w:rPr>
          <w:rFonts w:cs="Times New Roman" w:ascii="Times New Roman" w:hAnsi="Times New Roman"/>
          <w:sz w:val="32"/>
          <w:szCs w:val="32"/>
        </w:rPr>
        <w:t xml:space="preserve"> Всегда пристегивайтесь ремнями безопасности и объясняйте ребенку, зачем это нужно делать. Если это правило автоматически выполняется вами, то оно будет способствовать формированию у ребенка привычки пристегиваться ремнем безопасности. Ремень безопасности для ребенка должен иметь адаптер по его росту (чтобы ремень не был на уровне шеи).</w:t>
      </w:r>
    </w:p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>- Дети до 12 лет должны сидеть в специальном детском удерживающем устройстве (кресле) или занимать самые безопасные места в автомобиле: середину и правую часть заднего сиденья.</w:t>
      </w:r>
    </w:p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>- Учите ребенка правильному выходу из автомобиля через правую дверь, которая находится со стороны тротуара.</w:t>
      </w:r>
    </w:p>
    <w:p>
      <w:pPr>
        <w:pStyle w:val="Normal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cs="Times New Roman" w:ascii="Times New Roman" w:hAnsi="Times New Roman"/>
          <w:color w:val="FF0000"/>
          <w:sz w:val="40"/>
          <w:szCs w:val="40"/>
        </w:rPr>
        <w:t xml:space="preserve">       </w:t>
      </w:r>
      <w:r>
        <w:rPr>
          <w:rFonts w:cs="Times New Roman" w:ascii="Times New Roman" w:hAnsi="Times New Roman"/>
          <w:color w:val="FF0000"/>
          <w:sz w:val="40"/>
          <w:szCs w:val="40"/>
        </w:rPr>
        <w:t>Детские удерживающие устройства</w:t>
      </w:r>
    </w:p>
    <w:p>
      <w:pPr>
        <w:pStyle w:val="Normal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cs="Times New Roman" w:ascii="Times New Roman" w:hAnsi="Times New Roman"/>
          <w:color w:val="FF0000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color w:val="FF0000"/>
          <w:sz w:val="28"/>
          <w:szCs w:val="28"/>
        </w:rPr>
      </w:pPr>
      <w:r>
        <w:rPr/>
        <w:drawing>
          <wp:inline distT="0" distB="0" distL="0" distR="0">
            <wp:extent cx="1645920" cy="1853565"/>
            <wp:effectExtent l="0" t="0" r="0" b="0"/>
            <wp:docPr id="3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175" distL="0" distR="0">
            <wp:extent cx="1776095" cy="1635760"/>
            <wp:effectExtent l="0" t="0" r="0" b="0"/>
            <wp:docPr id="4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7620" distL="0" distR="0">
            <wp:extent cx="1776095" cy="1687830"/>
            <wp:effectExtent l="0" t="0" r="0" b="0"/>
            <wp:docPr id="5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cs="Times New Roman" w:ascii="Times New Roman" w:hAnsi="Times New Roman"/>
          <w:color w:val="FF0000"/>
          <w:sz w:val="24"/>
          <w:szCs w:val="24"/>
          <w:lang w:eastAsia="ru-RU"/>
        </w:rPr>
        <w:t xml:space="preserve">    </w:t>
      </w:r>
      <w:r>
        <w:rPr>
          <w:rFonts w:cs="Times New Roman" w:ascii="Times New Roman" w:hAnsi="Times New Roman"/>
          <w:color w:val="FF0000"/>
          <w:sz w:val="40"/>
          <w:szCs w:val="40"/>
          <w:lang w:eastAsia="ru-RU"/>
        </w:rPr>
        <w:t xml:space="preserve">               </w:t>
      </w:r>
      <w:r>
        <w:rPr>
          <w:rFonts w:cs="Times New Roman" w:ascii="Times New Roman" w:hAnsi="Times New Roman"/>
          <w:color w:val="FF0000"/>
          <w:sz w:val="24"/>
          <w:szCs w:val="24"/>
          <w:lang w:eastAsia="ru-RU"/>
        </w:rPr>
        <w:t xml:space="preserve">    </w:t>
      </w:r>
    </w:p>
    <w:p>
      <w:pPr>
        <w:pStyle w:val="Normal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bookmarkStart w:id="0" w:name="_GoBack"/>
      <w:bookmarkEnd w:id="0"/>
      <w:r>
        <w:rPr>
          <w:rFonts w:cs="Times New Roman" w:ascii="Times New Roman" w:hAnsi="Times New Roman"/>
          <w:color w:val="FF0000"/>
          <w:sz w:val="24"/>
          <w:szCs w:val="24"/>
          <w:lang w:eastAsia="ru-RU"/>
        </w:rPr>
        <w:t xml:space="preserve">                                         </w:t>
      </w:r>
    </w:p>
    <w:p>
      <w:pPr>
        <w:pStyle w:val="Normal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cs="Times New Roman" w:ascii="Times New Roman" w:hAnsi="Times New Roman"/>
          <w:color w:val="FF0000"/>
          <w:sz w:val="24"/>
          <w:szCs w:val="24"/>
          <w:lang w:eastAsia="ru-RU"/>
        </w:rPr>
        <w:t xml:space="preserve">                                         </w:t>
      </w:r>
    </w:p>
    <w:p>
      <w:pPr>
        <w:pStyle w:val="Normal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cs="Times New Roman" w:ascii="Times New Roman" w:hAnsi="Times New Roman"/>
          <w:color w:val="FF0000"/>
          <w:sz w:val="40"/>
          <w:szCs w:val="40"/>
        </w:rPr>
        <w:t xml:space="preserve">                   </w:t>
      </w:r>
      <w:r>
        <w:rPr>
          <w:rFonts w:cs="Times New Roman" w:ascii="Times New Roman" w:hAnsi="Times New Roman"/>
          <w:color w:val="FF0000"/>
          <w:sz w:val="40"/>
          <w:szCs w:val="40"/>
        </w:rPr>
        <w:t>Инструктаж</w:t>
      </w:r>
      <w:r>
        <w:rPr>
          <w:rFonts w:cs="Times New Roman" w:ascii="Times New Roman" w:hAnsi="Times New Roman"/>
          <w:color w:val="FF0000"/>
          <w:sz w:val="40"/>
          <w:szCs w:val="40"/>
        </w:rPr>
        <w:t xml:space="preserve"> для родителей</w:t>
      </w:r>
    </w:p>
    <w:p>
      <w:pPr>
        <w:pStyle w:val="Normal"/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cs="Times New Roman" w:ascii="Times New Roman" w:hAnsi="Times New Roman"/>
          <w:color w:val="7030A0"/>
          <w:sz w:val="36"/>
          <w:szCs w:val="36"/>
        </w:rPr>
        <w:t>«Причины детского дорожно-транспортного травматизма»</w:t>
      </w:r>
    </w:p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-386080</wp:posOffset>
            </wp:positionH>
            <wp:positionV relativeFrom="paragraph">
              <wp:posOffset>63500</wp:posOffset>
            </wp:positionV>
            <wp:extent cx="1910715" cy="2382520"/>
            <wp:effectExtent l="0" t="0" r="0" b="0"/>
            <wp:wrapSquare wrapText="bothSides"/>
            <wp:docPr id="6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32"/>
          <w:szCs w:val="32"/>
        </w:rPr>
        <w:t>-</w:t>
      </w:r>
      <w:r>
        <w:rPr>
          <w:rFonts w:cs="Times New Roman" w:ascii="Times New Roman" w:hAnsi="Times New Roman"/>
          <w:sz w:val="32"/>
          <w:szCs w:val="32"/>
        </w:rPr>
        <w:t xml:space="preserve"> Переход дороги в неположенном месте, перед близко идущим транспортом.</w:t>
      </w:r>
    </w:p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>Игры на проезжей части и возле нее.</w:t>
      </w:r>
    </w:p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>- Катание на велосипеде, роликах, других самокатных средствах по проезжей части дороги.</w:t>
      </w:r>
    </w:p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>- Невнимание к сигналам светофора. Переход проезжей части на красный или желтый сигналы светофора.</w:t>
      </w:r>
    </w:p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>- Выход на проезжую часть из-за стоящих машин, сооружений, зеленых насаждений и других препятствий.</w:t>
      </w:r>
    </w:p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>- Неправильный выбор места перехода дороги при высадке из маршрутного транспорта. Обход транспорта спереди или сзади.</w:t>
      </w:r>
    </w:p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>- Незнание правил перехода перекрестка.</w:t>
      </w:r>
      <w:r>
        <w:rPr>
          <w:sz w:val="32"/>
          <w:szCs w:val="32"/>
          <w:lang w:eastAsia="ru-RU"/>
        </w:rPr>
        <w:t xml:space="preserve"> </w:t>
      </w:r>
    </w:p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>- Хождение по проезжей части при наличии тротуара.</w:t>
      </w:r>
    </w:p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>- Бегство от опасности в потоке движущегося транспорта.</w:t>
      </w:r>
    </w:p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>- Движение по загородной дороге по направлению движения транспорта</w:t>
      </w:r>
    </w:p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 xml:space="preserve"> </w:t>
      </w:r>
      <w:r>
        <w:rPr>
          <w:rFonts w:cs="Times New Roman" w:ascii="Times New Roman" w:hAnsi="Times New Roman"/>
          <w:sz w:val="32"/>
          <w:szCs w:val="32"/>
        </w:rPr>
        <w:t>Соблюдайте правила дорожного движения! Берегите своих детей!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t xml:space="preserve">      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8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653c60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653c6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Application>LibreOffice/5.1.4.2$Windows_x86 LibreOffice_project/f99d75f39f1c57ebdd7ffc5f42867c12031db97a</Application>
  <Pages>2</Pages>
  <Words>215</Words>
  <Characters>1382</Characters>
  <CharactersWithSpaces>1760</CharactersWithSpaces>
  <Paragraphs>24</Paragraphs>
  <Company>Krokoz™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2013-09-05T16:02:00Z</dcterms:created>
  <dc:creator>витёк</dc:creator>
  <dc:description/>
  <dc:language>ru-RU</dc:language>
  <cp:lastModifiedBy/>
  <cp:lastPrinted>2013-09-09T15:15:00Z</cp:lastPrinted>
  <dcterms:modified xsi:type="dcterms:W3CDTF">2017-05-25T06:13:01Z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Krokoz™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