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DA" w:rsidRDefault="00AC03DA" w:rsidP="00AC03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«Формирование познавательных универсальных учебных действий на уроках информатики у обучающихся основной школы с помощью приемов технологии развития критического мышления»</w:t>
      </w:r>
    </w:p>
    <w:p w:rsidR="00770A36" w:rsidRPr="001F5AC3" w:rsidRDefault="00770A36" w:rsidP="00770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развития критического мышления основана на такой системе обучения, которая побуждает к активной самостоятельной деятельности </w:t>
      </w:r>
      <w:proofErr w:type="gramStart"/>
      <w:r w:rsidRPr="001F5AC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F5AC3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позволяет использовать творческий подход для решения поднимаемой на уроке проблемы, 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A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познавательных УУД, определённых ФГОС.</w:t>
      </w:r>
    </w:p>
    <w:p w:rsidR="00770A36" w:rsidRPr="001F5AC3" w:rsidRDefault="00770A36" w:rsidP="00770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AC3">
        <w:rPr>
          <w:rStyle w:val="c5"/>
          <w:rFonts w:ascii="Times New Roman" w:hAnsi="Times New Roman" w:cs="Times New Roman"/>
          <w:color w:val="000000"/>
          <w:sz w:val="28"/>
          <w:szCs w:val="28"/>
        </w:rPr>
        <w:t>Цель технологии развития критического мышления состоит в развитии мыслительных навыков, которые необходимы школьникам в последующей жизни (работать с информацией, умение принимать взвешенные решения, выделять главное и второстепенное, анализировать разные стороны явлений).</w:t>
      </w:r>
    </w:p>
    <w:p w:rsidR="00770A36" w:rsidRPr="001F5AC3" w:rsidRDefault="00770A36" w:rsidP="00770A36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1F5AC3">
        <w:rPr>
          <w:rStyle w:val="c5"/>
          <w:color w:val="000000"/>
          <w:sz w:val="28"/>
          <w:szCs w:val="28"/>
        </w:rPr>
        <w:t>Таким образом, выявлено противоречие между социальным заказом современного информационного общества на личность, которая готова к самообразованию посредством познавательных универсальных учебных действий, и недостаточным теоретическим и практическим обоснованием возможностей её формирования в условиях общеобразовательной организации с помощью приёмов технологии развития критического мышления на уроках информатики.</w:t>
      </w:r>
    </w:p>
    <w:p w:rsidR="00770A36" w:rsidRPr="001F5AC3" w:rsidRDefault="00770A36" w:rsidP="00770A36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t xml:space="preserve">Изучив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теоретические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основы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формирования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познавательных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универсальных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учебных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действий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на уроках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информатики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у обучающихся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основной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школы с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помощью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приемов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технологии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развития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критического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мышления,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были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проанализированы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Федеральный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государственный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образовательный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стандарт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основного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общего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образования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(далее –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ФГОС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ООО) с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целью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выявления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характеристик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познавательных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универсальных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учебных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действий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, были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выявлены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использования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приёмов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технологии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развития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критического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мышления для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формирования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познавательных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универсальных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учебных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действий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, а также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определены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теоретические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аспекты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формирования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познавательных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универсальных</w:t>
      </w:r>
      <w:proofErr w:type="gramEnd"/>
      <w:r>
        <w:rPr>
          <w:sz w:val="28"/>
          <w:szCs w:val="28"/>
        </w:rPr>
        <w:t xml:space="preserve"> </w:t>
      </w:r>
      <w:r>
        <w:rPr>
          <w:spacing w:val="-20000"/>
          <w:sz w:val="28"/>
          <w:szCs w:val="28"/>
          <w:highlight w:val="white"/>
        </w:rPr>
        <w:lastRenderedPageBreak/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учебных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действий с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помощью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технологии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развития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критического</w:t>
      </w:r>
      <w:proofErr w:type="gramEnd"/>
      <w:r>
        <w:rPr>
          <w:sz w:val="28"/>
          <w:szCs w:val="28"/>
        </w:rPr>
        <w:t xml:space="preserve">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мышления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на уроках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информатики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у обучающихся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основной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школы.</w:t>
      </w:r>
    </w:p>
    <w:p w:rsidR="00770A36" w:rsidRPr="001F5AC3" w:rsidRDefault="00770A36" w:rsidP="00770A36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Критическое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 xml:space="preserve">мышление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формируется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быстрее,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если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на уроках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информатики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учащиеся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основной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школы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являются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не пассивными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слушателями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, а постоянно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активно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ищут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информацию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, соотносят то, что они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усвоили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с собственным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практическим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опытом,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сравнивают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полученное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знание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с другими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работами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в данной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области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и других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сферах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знания (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говоря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привычным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языком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, самостоятельно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устанавливают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внутрипредметные</w:t>
      </w:r>
      <w:proofErr w:type="spellEnd"/>
      <w:r>
        <w:rPr>
          <w:rStyle w:val="c5"/>
          <w:color w:val="000000"/>
          <w:sz w:val="28"/>
          <w:szCs w:val="28"/>
        </w:rPr>
        <w:t xml:space="preserve"> 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межпредметные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связи) с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помощью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приемов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технологии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развития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критического</w:instrText>
      </w:r>
      <w:r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мышления</w:t>
      </w:r>
      <w:proofErr w:type="gramEnd"/>
    </w:p>
    <w:p w:rsidR="00770A36" w:rsidRPr="001900AE" w:rsidRDefault="00770A36" w:rsidP="001900AE">
      <w:pPr>
        <w:pStyle w:val="c1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Поэтому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, используя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приемы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технологии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развития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критического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мышления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, необходимо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уделять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большое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внимание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выработке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качеств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, необходимых для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продуктивного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обмена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мнениями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: терпимости,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умению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слушать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других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, ответственности за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собственную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точку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зрения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. Таким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образом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, преподавателям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информатики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удается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значительно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приблизить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учебный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процесс к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реальной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жизни,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протекающей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за стенами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Style w:val="c5"/>
          <w:noProof/>
          <w:color w:val="000000"/>
          <w:sz w:val="28"/>
          <w:szCs w:val="28"/>
        </w:rPr>
        <w:instrText>классной</w:instrText>
      </w:r>
      <w:r>
        <w:rPr>
          <w:spacing w:val="-20000"/>
          <w:sz w:val="28"/>
          <w:szCs w:val="28"/>
        </w:rPr>
        <w:fldChar w:fldCharType="end"/>
      </w:r>
      <w:r>
        <w:rPr>
          <w:rStyle w:val="c5"/>
          <w:color w:val="000000"/>
          <w:sz w:val="28"/>
          <w:szCs w:val="28"/>
        </w:rPr>
        <w:t xml:space="preserve"> комнаты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color w:val="000000"/>
          <w:sz w:val="28"/>
          <w:szCs w:val="28"/>
          <w:shd w:val="clear" w:color="auto" w:fill="FFFFFF"/>
        </w:rPr>
        <w:instrText>Применение</w:instrText>
      </w:r>
      <w:r>
        <w:rPr>
          <w:spacing w:val="-20000"/>
          <w:sz w:val="28"/>
          <w:szCs w:val="28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ехнологии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color w:val="000000"/>
          <w:sz w:val="28"/>
          <w:szCs w:val="28"/>
          <w:shd w:val="clear" w:color="auto" w:fill="FFFFFF"/>
        </w:rPr>
        <w:instrText>критического</w:instrText>
      </w:r>
      <w:r>
        <w:rPr>
          <w:spacing w:val="-20000"/>
          <w:sz w:val="28"/>
          <w:szCs w:val="28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 мышления на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color w:val="000000"/>
          <w:sz w:val="28"/>
          <w:szCs w:val="28"/>
          <w:shd w:val="clear" w:color="auto" w:fill="FFFFFF"/>
        </w:rPr>
        <w:instrText>уроках</w:instrText>
      </w:r>
      <w:r>
        <w:rPr>
          <w:spacing w:val="-20000"/>
          <w:sz w:val="28"/>
          <w:szCs w:val="28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 информатики и ИКТ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color w:val="000000"/>
          <w:sz w:val="28"/>
          <w:szCs w:val="28"/>
          <w:shd w:val="clear" w:color="auto" w:fill="FFFFFF"/>
        </w:rPr>
        <w:instrText>позволяет</w:instrText>
      </w:r>
      <w:r>
        <w:rPr>
          <w:spacing w:val="-20000"/>
          <w:sz w:val="28"/>
          <w:szCs w:val="28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 создать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color w:val="000000"/>
          <w:sz w:val="28"/>
          <w:szCs w:val="28"/>
          <w:shd w:val="clear" w:color="auto" w:fill="FFFFFF"/>
        </w:rPr>
        <w:instrText>благоприятные</w:instrText>
      </w:r>
      <w:r>
        <w:rPr>
          <w:spacing w:val="-20000"/>
          <w:sz w:val="28"/>
          <w:szCs w:val="28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 условия для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color w:val="000000"/>
          <w:sz w:val="28"/>
          <w:szCs w:val="28"/>
          <w:shd w:val="clear" w:color="auto" w:fill="FFFFFF"/>
        </w:rPr>
        <w:instrText>активизации</w:instrText>
      </w:r>
      <w:r>
        <w:rPr>
          <w:spacing w:val="-20000"/>
          <w:sz w:val="28"/>
          <w:szCs w:val="28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 и развития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color w:val="000000"/>
          <w:sz w:val="28"/>
          <w:szCs w:val="28"/>
          <w:shd w:val="clear" w:color="auto" w:fill="FFFFFF"/>
        </w:rPr>
        <w:instrText>мыслительных</w:instrText>
      </w:r>
      <w:r>
        <w:rPr>
          <w:spacing w:val="-20000"/>
          <w:sz w:val="28"/>
          <w:szCs w:val="28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 способностей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color w:val="000000"/>
          <w:sz w:val="28"/>
          <w:szCs w:val="28"/>
          <w:shd w:val="clear" w:color="auto" w:fill="FFFFFF"/>
        </w:rPr>
        <w:instrText>учащихся</w:instrText>
      </w:r>
      <w:r>
        <w:rPr>
          <w:spacing w:val="-20000"/>
          <w:sz w:val="28"/>
          <w:szCs w:val="28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735D6" w:rsidRDefault="00770A36" w:rsidP="008735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pacing w:val="-20000"/>
          <w:sz w:val="28"/>
          <w:szCs w:val="28"/>
        </w:rPr>
        <w:t xml:space="preserve">  </w:t>
      </w:r>
      <w:proofErr w:type="gramStart"/>
      <w:r w:rsidR="008735D6">
        <w:rPr>
          <w:rFonts w:ascii="Times New Roman" w:hAnsi="Times New Roman"/>
          <w:sz w:val="28"/>
          <w:szCs w:val="28"/>
        </w:rPr>
        <w:t xml:space="preserve">Для практического подтверждения эффективности формированию познавательных универсальных учебных действий на уроках информатики у обучающихся основной школы с помощью приемов технологии развития критического мышления было проведено психолого-педагогическое исследование на базе </w:t>
      </w:r>
      <w:r w:rsidR="008735D6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образовательного учреждения «Средняя образовательная школа №11» Левокумского муниципального района Ставропольского края с. Николо-Александровское</w:t>
      </w:r>
      <w:r w:rsidR="008735D6">
        <w:rPr>
          <w:rFonts w:ascii="Times New Roman" w:hAnsi="Times New Roman"/>
          <w:sz w:val="28"/>
          <w:szCs w:val="28"/>
        </w:rPr>
        <w:t>.</w:t>
      </w:r>
      <w:proofErr w:type="gramEnd"/>
      <w:r w:rsidR="008735D6">
        <w:rPr>
          <w:rFonts w:ascii="Times New Roman" w:hAnsi="Times New Roman"/>
          <w:sz w:val="28"/>
          <w:szCs w:val="28"/>
        </w:rPr>
        <w:t xml:space="preserve"> Были поставлены следующие задачи:</w:t>
      </w:r>
    </w:p>
    <w:p w:rsidR="008735D6" w:rsidRDefault="008735D6" w:rsidP="008735D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контрольную и экспериментальную группу;</w:t>
      </w:r>
    </w:p>
    <w:p w:rsidR="008735D6" w:rsidRDefault="008735D6" w:rsidP="008735D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уроки с использованием приемов технологии развития критического мышления;</w:t>
      </w:r>
    </w:p>
    <w:p w:rsidR="008735D6" w:rsidRPr="00AC03DA" w:rsidRDefault="008735D6" w:rsidP="00AC03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выполнить анализ полученных результатов тестирования и сделать соответствующие выводы.</w:t>
      </w:r>
    </w:p>
    <w:p w:rsidR="008735D6" w:rsidRDefault="008735D6" w:rsidP="008735D6">
      <w:pPr>
        <w:pStyle w:val="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эксперимента являлись:</w:t>
      </w:r>
    </w:p>
    <w:p w:rsidR="008735D6" w:rsidRDefault="008735D6" w:rsidP="008735D6">
      <w:pPr>
        <w:pStyle w:val="3"/>
        <w:widowControl w:val="0"/>
        <w:numPr>
          <w:ilvl w:val="0"/>
          <w:numId w:val="5"/>
        </w:numPr>
        <w:tabs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творческой личности, которая способна определенным образом обращаться с проблемами, в разных областях деятельности человека: которая умеет видеть, замечать проблему; желает её решить; вооружена методами решения проблем.</w:t>
      </w:r>
    </w:p>
    <w:p w:rsidR="008735D6" w:rsidRDefault="008735D6" w:rsidP="008735D6">
      <w:pPr>
        <w:pStyle w:val="3"/>
        <w:widowControl w:val="0"/>
        <w:numPr>
          <w:ilvl w:val="0"/>
          <w:numId w:val="5"/>
        </w:numPr>
        <w:tabs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методического инструментария для решения проблемы формированию познавательных универсальных учебных действий с помощью приемов технологии развития критического мышления.</w:t>
      </w:r>
    </w:p>
    <w:p w:rsidR="008735D6" w:rsidRDefault="008735D6" w:rsidP="008735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проведения опытно-экспериментальной части работы предусматривала три главных этапа: констатирующий; формирующий; контрольный.</w:t>
      </w:r>
    </w:p>
    <w:p w:rsidR="008735D6" w:rsidRDefault="008735D6" w:rsidP="008735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сравнительного эксперимента нам потребовалось две группы. В качестве этих групп выступили учащиеся 5 «а», 5 «б» классов. </w:t>
      </w:r>
    </w:p>
    <w:p w:rsidR="008735D6" w:rsidRDefault="008735D6" w:rsidP="008735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5-го «а» класса в количестве 17-ти человек выступили в качестве экспериментальной группы, а учащиеся 5 «б» класса в количестве 17-ти человек выступили в качестве контрольной группы.</w:t>
      </w:r>
    </w:p>
    <w:p w:rsidR="008735D6" w:rsidRDefault="008735D6" w:rsidP="008735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этапе, констатирующем, апробации проводилось исследование в виде тестовых заданий, направленное на определение качества знаний учеников по теме: «Информация». Тест состоял из 17 вопросов, включающий все темы и основные понятия. </w:t>
      </w:r>
    </w:p>
    <w:p w:rsidR="001900AE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67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14105B8" wp14:editId="36850C4E">
            <wp:extent cx="4550735" cy="2083981"/>
            <wp:effectExtent l="0" t="0" r="2540" b="0"/>
            <wp:docPr id="91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4D0677">
        <w:rPr>
          <w:rFonts w:ascii="Times New Roman" w:hAnsi="Times New Roman"/>
          <w:sz w:val="28"/>
          <w:szCs w:val="28"/>
        </w:rPr>
        <w:t xml:space="preserve"> 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Результаты констатирующего этапа эксперимента показали следующее: у детей экспериментальной и контрольной групп практически одинаковый уровень знаний по информатике. </w:t>
      </w:r>
      <w:proofErr w:type="gramEnd"/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работы, формирующий, включал в себя использование на уроках информатики приемов технологии развития критического мышления, направленный на повышение качества знаний по данной теме и развитие познавательных универсальных учебных действий. Экспериментальная группа изучала материал с применением приемов технологии развития критического мышления, тогда как контрольная группа изучала тот же материал без применения технологии развития критического мышления.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учениками 5 «а» класса были подробно рассмотрены несколько приемов технологии развития критического</w:t>
      </w:r>
      <w:r w:rsidR="001900AE">
        <w:rPr>
          <w:rFonts w:ascii="Times New Roman" w:hAnsi="Times New Roman"/>
          <w:sz w:val="28"/>
          <w:szCs w:val="28"/>
        </w:rPr>
        <w:t xml:space="preserve"> мышления</w:t>
      </w:r>
      <w:proofErr w:type="gramStart"/>
      <w:r w:rsidR="00190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изучения темы был использован прием </w:t>
      </w:r>
      <w:r>
        <w:rPr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Верные и неверные утверждения</w:t>
      </w:r>
      <w:r>
        <w:rPr>
          <w:iCs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Этот прием может быть началом урока. Учитель предлагает ряд утверждений по теме «Информация». Учащиеся выбирают «верные»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необходимо вернуться к этому приему, чтобы выяснить, какие из утверждений были верными 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Впоследствии можно использовать «Лови ошибку».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заранее был подготовлен текст, содержащий ошибочную информацию, и учащимся было предложено выявить допущенные ошибки.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Важно, чтобы задание содержало в себе ошибки 2 уровней:</w:t>
      </w:r>
    </w:p>
    <w:p w:rsidR="004D0677" w:rsidRDefault="004D0677" w:rsidP="004D0677">
      <w:pPr>
        <w:pStyle w:val="a4"/>
        <w:numPr>
          <w:ilvl w:val="1"/>
          <w:numId w:val="6"/>
        </w:numPr>
        <w:tabs>
          <w:tab w:val="num" w:pos="-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развороте доски записываются предложения с явными ошибками, которые достаточно легко выявляются учащимися, исходя из их личного опыта и знаний. </w:t>
      </w:r>
    </w:p>
    <w:p w:rsidR="004D0677" w:rsidRDefault="004D0677" w:rsidP="004D0677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ученики подводятся к теме урока и понимают важность такого термина как «информация» и связанными с ней процессами: хранение, обработка и получение.</w:t>
      </w:r>
    </w:p>
    <w:p w:rsidR="004D0677" w:rsidRDefault="004D0677" w:rsidP="004D0677">
      <w:pPr>
        <w:pStyle w:val="a4"/>
        <w:numPr>
          <w:ilvl w:val="1"/>
          <w:numId w:val="6"/>
        </w:numPr>
        <w:tabs>
          <w:tab w:val="num" w:pos="-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обороте доски были записаны предложения со </w:t>
      </w:r>
      <w:r>
        <w:rPr>
          <w:rFonts w:eastAsiaTheme="minorEastAsia" w:cstheme="minorBidi"/>
          <w:sz w:val="28"/>
          <w:szCs w:val="28"/>
        </w:rPr>
        <w:t>скрытыми ошибками, которые можно установить, только изучив новый материал.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анализируют предложенный текст, пытаются выявить ошибки, аргументируют свои выводы. Затем изучают новый материал, после чего возвращаются к тексту и исправляют те ошибки, которые не удалось выявить в начале урока.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был использован прием «Пометки на полях»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чтения учебного текста по данной тематике дается целевая установка: по ходу чтения текста в учебнике делать в тексте пометки.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необходимо предварительно определить текст или его фрагмент для чтения с пометками, напомнить правила расстановки маркировочных знаков, обозначить время, отведенное на работу, проверить работу.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маркировочные пометки:</w:t>
      </w:r>
    </w:p>
    <w:p w:rsidR="004D0677" w:rsidRDefault="004D0677" w:rsidP="004D067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 «галочка» отмечают информацию, которая известна ученику.</w:t>
      </w:r>
    </w:p>
    <w:p w:rsidR="004D0677" w:rsidRDefault="004D0677" w:rsidP="004D067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 «плюс» отмечают новую информацию, новые знания.</w:t>
      </w:r>
    </w:p>
    <w:p w:rsidR="004D0677" w:rsidRDefault="004D0677" w:rsidP="004D067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 «вопрос» отмечается то, что осталось непонятно и требует дополнительных сведений.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прочтения текста учащиеся заполняют таблицу, количество граф которой соответствует числу знаков маркировки: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прием требует от ученика активного и внимательного чтения. Использование маркировочных знаков помогает соотносить новую информацию с имеющимися представлениями.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Впоследствии можно использовать следующий прием:</w:t>
      </w:r>
    </w:p>
    <w:p w:rsidR="004D0677" w:rsidRDefault="004D0677" w:rsidP="004D0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«Знаю – хочу узнать – узнал» - это работа с таблицей. При изучении темы на стадии вызова учащимся можно предложить разбиться на пары, посовещаться и заполнить 1 графу таблицы (это могут быть какие-то ассоциации, конкретные исторические сведения, предположения). После обсуждения полученных результатов в классе учащиеся сами формулируют </w:t>
      </w:r>
      <w:r>
        <w:rPr>
          <w:rFonts w:ascii="Times New Roman" w:hAnsi="Times New Roman"/>
          <w:sz w:val="28"/>
          <w:szCs w:val="28"/>
        </w:rPr>
        <w:lastRenderedPageBreak/>
        <w:t>цели урока: что я хочу узнать? Для устранения пробелов в собственных знаниях и заполняют 2 графу. После изучения темы соотносят полученную информацию с той, что была у них в начале урока.</w:t>
      </w:r>
    </w:p>
    <w:p w:rsidR="004D0677" w:rsidRDefault="004D0677" w:rsidP="004D0677">
      <w:pPr>
        <w:pStyle w:val="a4"/>
        <w:spacing w:after="0" w:line="360" w:lineRule="auto"/>
        <w:ind w:left="709"/>
        <w:jc w:val="both"/>
        <w:rPr>
          <w:rFonts w:eastAsiaTheme="minorEastAsia" w:cstheme="minorBidi"/>
          <w:sz w:val="28"/>
          <w:szCs w:val="28"/>
        </w:rPr>
      </w:pPr>
    </w:p>
    <w:p w:rsidR="004D0677" w:rsidRDefault="004D0677" w:rsidP="004D0677">
      <w:pPr>
        <w:pStyle w:val="a4"/>
        <w:spacing w:after="0" w:line="360" w:lineRule="auto"/>
        <w:ind w:left="709"/>
        <w:jc w:val="right"/>
        <w:rPr>
          <w:rFonts w:eastAsiaTheme="minorEastAsia" w:cstheme="minorBidi"/>
          <w:sz w:val="28"/>
          <w:szCs w:val="28"/>
        </w:rPr>
      </w:pPr>
    </w:p>
    <w:p w:rsidR="004D0677" w:rsidRDefault="004D0677" w:rsidP="004D0677">
      <w:pPr>
        <w:pStyle w:val="a4"/>
        <w:spacing w:after="0" w:line="360" w:lineRule="auto"/>
        <w:ind w:left="709"/>
        <w:jc w:val="both"/>
        <w:rPr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Таблица </w:t>
      </w:r>
      <w:r>
        <w:rPr>
          <w:sz w:val="28"/>
          <w:szCs w:val="28"/>
        </w:rPr>
        <w:t>«Знаю – хочу узнать – узнал»</w:t>
      </w:r>
    </w:p>
    <w:p w:rsidR="004D0677" w:rsidRDefault="004D0677" w:rsidP="004D0677">
      <w:pPr>
        <w:pStyle w:val="a4"/>
        <w:spacing w:after="0" w:line="360" w:lineRule="auto"/>
        <w:ind w:left="709"/>
        <w:jc w:val="both"/>
        <w:rPr>
          <w:rFonts w:eastAsiaTheme="minorEastAsia" w:cstheme="minorBidi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367"/>
      </w:tblGrid>
      <w:tr w:rsidR="004D0677" w:rsidTr="004D067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677" w:rsidRDefault="004D0677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 (вызов)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677" w:rsidRDefault="004D0677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Хочу узнать (вызов)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677" w:rsidRDefault="004D0677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Узнал (реализация смысла или рефлексия)</w:t>
            </w:r>
          </w:p>
        </w:tc>
      </w:tr>
      <w:tr w:rsidR="004D0677" w:rsidTr="004D067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677" w:rsidRDefault="004D0677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паре: что я знаю о теме урока?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677" w:rsidRDefault="004D0677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целей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677" w:rsidRDefault="004D0677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старой и новой информации</w:t>
            </w:r>
          </w:p>
        </w:tc>
      </w:tr>
    </w:tbl>
    <w:p w:rsidR="004D0677" w:rsidRDefault="004D0677" w:rsidP="004D0677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</w:p>
    <w:p w:rsidR="004D0677" w:rsidRDefault="004D0677" w:rsidP="004D067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Контрольный, третий этап исследования, проводился тем же методом, что и первый. Целью этапа было выявление изменений качества знаний учащихся по данной теме. В результате следует подведение итогов исследования.</w:t>
      </w:r>
    </w:p>
    <w:p w:rsidR="001900AE" w:rsidRDefault="004D0677" w:rsidP="004D0677">
      <w:pPr>
        <w:spacing w:after="0" w:line="360" w:lineRule="auto"/>
        <w:ind w:firstLine="851"/>
        <w:jc w:val="both"/>
        <w:rPr>
          <w:noProof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Результаты тестирования показали, что учащиеся 5-го «а» класса, изучавшие материал с использованием приемов технологии развития критического </w:t>
      </w:r>
      <w:proofErr w:type="spellStart"/>
      <w:r>
        <w:rPr>
          <w:rFonts w:ascii="Times New Roman" w:hAnsi="Times New Roman"/>
          <w:sz w:val="28"/>
          <w:szCs w:val="28"/>
        </w:rPr>
        <w:t>мышленияна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уроках информатики, направленные на формированию познавательных универсальных учебных действий на уроках информатики у обучающихся основной школы, усвоили материал лучше, чем 5 «б» класс, изучившие раздел без применения технологии развития </w:t>
      </w:r>
      <w:r w:rsidR="00190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критического мышления.</w:t>
      </w:r>
      <w:r w:rsidR="001900AE" w:rsidRPr="001900AE">
        <w:rPr>
          <w:noProof/>
          <w:color w:val="000000"/>
          <w:sz w:val="28"/>
          <w:szCs w:val="28"/>
          <w:lang w:eastAsia="ru-RU"/>
        </w:rPr>
        <w:t xml:space="preserve"> </w:t>
      </w:r>
      <w:proofErr w:type="gramEnd"/>
    </w:p>
    <w:p w:rsidR="001900AE" w:rsidRDefault="001900AE" w:rsidP="004D0677">
      <w:pPr>
        <w:spacing w:after="0" w:line="360" w:lineRule="auto"/>
        <w:ind w:firstLine="851"/>
        <w:jc w:val="both"/>
        <w:rPr>
          <w:noProof/>
          <w:color w:val="000000"/>
          <w:sz w:val="28"/>
          <w:szCs w:val="28"/>
          <w:lang w:eastAsia="ru-RU"/>
        </w:rPr>
      </w:pPr>
      <w:r w:rsidRPr="004D067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3648B86" wp14:editId="13495459">
            <wp:extent cx="3987209" cy="1488558"/>
            <wp:effectExtent l="0" t="0" r="0" b="0"/>
            <wp:docPr id="93" name="Диаграм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0677" w:rsidRDefault="004D0677" w:rsidP="004D067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00AE" w:rsidRDefault="004D0677" w:rsidP="004D067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677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10493" cy="1584251"/>
            <wp:effectExtent l="0" t="0" r="0" b="0"/>
            <wp:docPr id="94" name="Диаграм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D0677">
        <w:rPr>
          <w:rFonts w:ascii="Times New Roman" w:hAnsi="Times New Roman"/>
          <w:sz w:val="28"/>
          <w:szCs w:val="28"/>
        </w:rPr>
        <w:t xml:space="preserve"> </w:t>
      </w:r>
    </w:p>
    <w:p w:rsidR="004D0677" w:rsidRDefault="004D0677" w:rsidP="004D067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диаграмме хорошо видно, что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универсальных учебных действий с помощью приёмов технологии развития критического мышления на уроках информатики</w:t>
      </w:r>
      <w:r>
        <w:rPr>
          <w:rFonts w:ascii="Times New Roman" w:hAnsi="Times New Roman"/>
          <w:sz w:val="28"/>
          <w:szCs w:val="28"/>
        </w:rPr>
        <w:t xml:space="preserve"> процент учащихся, усвоивших материал на оценку «отлично» в 5 «а» классе составил 70,6 % и этот показатель выше, чем в контрольной группе (в 5 «б» – 58,8 %). Процент учащихся, усвоивших раздел на «удовлетворительно» в экспериментальной группе составил всего 29,4 %, когда этот же показатель в 5 «б» был выше (41,2 %). По результатам тестирования можно сделать вывод, что изучение материала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приёмов технологии развития критического мышления на уроках информатики</w:t>
      </w:r>
      <w:r>
        <w:rPr>
          <w:rFonts w:ascii="Times New Roman" w:hAnsi="Times New Roman"/>
          <w:sz w:val="28"/>
          <w:szCs w:val="28"/>
        </w:rPr>
        <w:t xml:space="preserve"> дал более высокий уровень усвоения материала, что также показывает и более эффективное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универсальных учебных действий</w:t>
      </w:r>
      <w:r w:rsidR="00190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учащихся основной школы</w:t>
      </w:r>
      <w:r>
        <w:rPr>
          <w:rFonts w:ascii="Times New Roman" w:hAnsi="Times New Roman"/>
          <w:sz w:val="28"/>
          <w:szCs w:val="28"/>
        </w:rPr>
        <w:t>.</w:t>
      </w:r>
    </w:p>
    <w:p w:rsidR="004D0677" w:rsidRDefault="004D0677" w:rsidP="004D0677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Работая по </w:t>
      </w:r>
      <w:r>
        <w:rPr>
          <w:rStyle w:val="c5"/>
          <w:color w:val="000000"/>
          <w:sz w:val="28"/>
          <w:szCs w:val="28"/>
        </w:rPr>
        <w:t>технологии развития критического мышления</w:t>
      </w:r>
      <w:r>
        <w:rPr>
          <w:color w:val="000000"/>
          <w:sz w:val="28"/>
          <w:szCs w:val="28"/>
          <w:shd w:val="clear" w:color="auto" w:fill="FFFFFF"/>
        </w:rPr>
        <w:t xml:space="preserve"> преподавателям удаётся значительно приблизить учебный процесс к реальной жизни, протекающей за пределами учебного кабинета, а, использование </w:t>
      </w:r>
      <w:r>
        <w:rPr>
          <w:rStyle w:val="c5"/>
          <w:color w:val="000000"/>
          <w:sz w:val="28"/>
          <w:szCs w:val="28"/>
        </w:rPr>
        <w:t>технологии развития критического мышления</w:t>
      </w:r>
      <w:r>
        <w:rPr>
          <w:color w:val="000000"/>
          <w:sz w:val="28"/>
          <w:szCs w:val="28"/>
          <w:shd w:val="clear" w:color="auto" w:fill="FFFFFF"/>
        </w:rPr>
        <w:t xml:space="preserve"> на уроках информатики повышает у обучающихся мотивацию к учению и интерес к дисциплине, способствует более эффективному овладению приёмами мыслительной деятельности в сфере информационных технологий.</w:t>
      </w:r>
      <w:proofErr w:type="gramEnd"/>
    </w:p>
    <w:p w:rsidR="004D0677" w:rsidRDefault="004D0677" w:rsidP="004D0677">
      <w:pPr>
        <w:pStyle w:val="c1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</w:rPr>
        <w:t xml:space="preserve">Поэтому, используя приемы технологии развития критического мышления, необходимо уделять большое внимание выработке качеств, необходимых для продуктивного обмена мнениями: терпимости, умению слушать других, ответственности за собственную точку зрения. Таким образом, преподавателям информатики удается значительно приблизить </w:t>
      </w:r>
      <w:r>
        <w:rPr>
          <w:rStyle w:val="c5"/>
          <w:color w:val="000000"/>
          <w:sz w:val="28"/>
          <w:szCs w:val="28"/>
        </w:rPr>
        <w:lastRenderedPageBreak/>
        <w:t>учебный процесс к реальной жизни, протекающей за стенами классной комнаты.</w:t>
      </w:r>
      <w:r>
        <w:rPr>
          <w:color w:val="000000"/>
          <w:sz w:val="28"/>
          <w:szCs w:val="28"/>
          <w:shd w:val="clear" w:color="auto" w:fill="FFFFFF"/>
        </w:rPr>
        <w:t xml:space="preserve"> Применение технологии критического мышления на уроках информатики  и  ИКТ позволяет создать  благоприятные условия  для активизации и развития мыслительных  способностей учащихся.</w:t>
      </w:r>
    </w:p>
    <w:p w:rsidR="004D0677" w:rsidRDefault="004D0677" w:rsidP="004D0677">
      <w:pPr>
        <w:pStyle w:val="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4D0677" w:rsidSect="0013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CB5"/>
    <w:multiLevelType w:val="hybridMultilevel"/>
    <w:tmpl w:val="51209EE0"/>
    <w:lvl w:ilvl="0" w:tplc="6F7447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72FCD"/>
    <w:multiLevelType w:val="multilevel"/>
    <w:tmpl w:val="155C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34B94"/>
    <w:multiLevelType w:val="hybridMultilevel"/>
    <w:tmpl w:val="6CC0895C"/>
    <w:lvl w:ilvl="0" w:tplc="282807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D7AAC"/>
    <w:multiLevelType w:val="hybridMultilevel"/>
    <w:tmpl w:val="B9441748"/>
    <w:lvl w:ilvl="0" w:tplc="28280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B64A8"/>
    <w:multiLevelType w:val="hybridMultilevel"/>
    <w:tmpl w:val="B20AAB40"/>
    <w:lvl w:ilvl="0" w:tplc="282807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7685A"/>
    <w:multiLevelType w:val="hybridMultilevel"/>
    <w:tmpl w:val="CD12B546"/>
    <w:lvl w:ilvl="0" w:tplc="BB8EAEA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4DA"/>
    <w:rsid w:val="000F6A58"/>
    <w:rsid w:val="00134517"/>
    <w:rsid w:val="001900AE"/>
    <w:rsid w:val="00316A98"/>
    <w:rsid w:val="004D0677"/>
    <w:rsid w:val="00770A36"/>
    <w:rsid w:val="008735D6"/>
    <w:rsid w:val="008A64DA"/>
    <w:rsid w:val="008C0326"/>
    <w:rsid w:val="00AC03DA"/>
    <w:rsid w:val="00D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64DA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8">
    <w:name w:val="c8"/>
    <w:basedOn w:val="a"/>
    <w:rsid w:val="008A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64DA"/>
  </w:style>
  <w:style w:type="character" w:styleId="a5">
    <w:name w:val="Strong"/>
    <w:basedOn w:val="a0"/>
    <w:uiPriority w:val="22"/>
    <w:qFormat/>
    <w:rsid w:val="008A64DA"/>
    <w:rPr>
      <w:b/>
      <w:bCs/>
    </w:rPr>
  </w:style>
  <w:style w:type="paragraph" w:customStyle="1" w:styleId="c11">
    <w:name w:val="c11"/>
    <w:basedOn w:val="a"/>
    <w:rsid w:val="0077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7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735D6"/>
    <w:pPr>
      <w:tabs>
        <w:tab w:val="num" w:pos="1440"/>
      </w:tabs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73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67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D0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«5»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17.600000000000001</c:v>
                </c:pt>
                <c:pt idx="1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«4»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35.300000000000004</c:v>
                </c:pt>
                <c:pt idx="1">
                  <c:v>47.1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«3»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47.1</c:v>
                </c:pt>
                <c:pt idx="1">
                  <c:v>41.2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52.9</c:v>
                </c:pt>
                <c:pt idx="1">
                  <c:v>58.8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Процент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602112"/>
        <c:axId val="86603648"/>
        <c:axId val="0"/>
      </c:bar3DChart>
      <c:catAx>
        <c:axId val="86602112"/>
        <c:scaling>
          <c:orientation val="minMax"/>
        </c:scaling>
        <c:delete val="0"/>
        <c:axPos val="b"/>
        <c:majorTickMark val="out"/>
        <c:minorTickMark val="none"/>
        <c:tickLblPos val="nextTo"/>
        <c:crossAx val="86603648"/>
        <c:crosses val="autoZero"/>
        <c:auto val="1"/>
        <c:lblAlgn val="ctr"/>
        <c:lblOffset val="100"/>
        <c:noMultiLvlLbl val="0"/>
      </c:catAx>
      <c:valAx>
        <c:axId val="8660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602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Процент «5»</c:v>
                </c:pt>
              </c:strCache>
            </c:strRef>
          </c:tx>
          <c:invertIfNegative val="0"/>
          <c:cat>
            <c:strRef>
              <c:f>Лист1!$A$6:$A$7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Лист1!$B$6:$B$7</c:f>
              <c:numCache>
                <c:formatCode>General</c:formatCode>
                <c:ptCount val="2"/>
                <c:pt idx="0">
                  <c:v>35.300000000000004</c:v>
                </c:pt>
                <c:pt idx="1">
                  <c:v>17.600000000000001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Процент «4»</c:v>
                </c:pt>
              </c:strCache>
            </c:strRef>
          </c:tx>
          <c:invertIfNegative val="0"/>
          <c:cat>
            <c:strRef>
              <c:f>Лист1!$A$6:$A$7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Лист1!$C$6:$C$7</c:f>
              <c:numCache>
                <c:formatCode>General</c:formatCode>
                <c:ptCount val="2"/>
                <c:pt idx="0">
                  <c:v>35.300000000000004</c:v>
                </c:pt>
                <c:pt idx="1">
                  <c:v>41.2</c:v>
                </c:pt>
              </c:numCache>
            </c:numRef>
          </c:val>
        </c:ser>
        <c:ser>
          <c:idx val="2"/>
          <c:order val="2"/>
          <c:tx>
            <c:strRef>
              <c:f>Лист1!$D$5</c:f>
              <c:strCache>
                <c:ptCount val="1"/>
                <c:pt idx="0">
                  <c:v>Процент «3»</c:v>
                </c:pt>
              </c:strCache>
            </c:strRef>
          </c:tx>
          <c:invertIfNegative val="0"/>
          <c:cat>
            <c:strRef>
              <c:f>Лист1!$A$6:$A$7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Лист1!$D$6:$D$7</c:f>
              <c:numCache>
                <c:formatCode>General</c:formatCode>
                <c:ptCount val="2"/>
                <c:pt idx="0">
                  <c:v>29.4</c:v>
                </c:pt>
                <c:pt idx="1">
                  <c:v>41.2</c:v>
                </c:pt>
              </c:numCache>
            </c:numRef>
          </c:val>
        </c:ser>
        <c:ser>
          <c:idx val="3"/>
          <c:order val="3"/>
          <c:tx>
            <c:strRef>
              <c:f>Лист1!$E$5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Лист1!$A$6:$A$7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Лист1!$E$6:$E$7</c:f>
              <c:numCache>
                <c:formatCode>General</c:formatCode>
                <c:ptCount val="2"/>
                <c:pt idx="0">
                  <c:v>70.599999999999994</c:v>
                </c:pt>
                <c:pt idx="1">
                  <c:v>58.8</c:v>
                </c:pt>
              </c:numCache>
            </c:numRef>
          </c:val>
        </c:ser>
        <c:ser>
          <c:idx val="4"/>
          <c:order val="4"/>
          <c:tx>
            <c:strRef>
              <c:f>Лист1!$F$5</c:f>
              <c:strCache>
                <c:ptCount val="1"/>
                <c:pt idx="0">
                  <c:v>Процент обученности</c:v>
                </c:pt>
              </c:strCache>
            </c:strRef>
          </c:tx>
          <c:invertIfNegative val="0"/>
          <c:cat>
            <c:strRef>
              <c:f>Лист1!$A$6:$A$7</c:f>
              <c:strCache>
                <c:ptCount val="2"/>
                <c:pt idx="0">
                  <c:v>5 «а»</c:v>
                </c:pt>
                <c:pt idx="1">
                  <c:v>5 «б»</c:v>
                </c:pt>
              </c:strCache>
            </c:strRef>
          </c:cat>
          <c:val>
            <c:numRef>
              <c:f>Лист1!$F$6:$F$7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679104"/>
        <c:axId val="103680640"/>
        <c:axId val="0"/>
      </c:bar3DChart>
      <c:catAx>
        <c:axId val="10367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03680640"/>
        <c:crosses val="autoZero"/>
        <c:auto val="1"/>
        <c:lblAlgn val="ctr"/>
        <c:lblOffset val="100"/>
        <c:noMultiLvlLbl val="0"/>
      </c:catAx>
      <c:valAx>
        <c:axId val="10368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67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5 «а»</c:v>
                </c:pt>
              </c:strCache>
            </c:strRef>
          </c:tx>
          <c:invertIfNegative val="0"/>
          <c:cat>
            <c:strRef>
              <c:f>Лист1!$B$9:$C$9</c:f>
              <c:strCache>
                <c:ptCount val="2"/>
                <c:pt idx="0">
                  <c:v>Качество знаний до эксперимента</c:v>
                </c:pt>
                <c:pt idx="1">
                  <c:v>Качество знаний после эксперимента</c:v>
                </c:pt>
              </c:strCache>
            </c:strRef>
          </c:cat>
          <c:val>
            <c:numRef>
              <c:f>Лист1!$B$10:$C$10</c:f>
              <c:numCache>
                <c:formatCode>General</c:formatCode>
                <c:ptCount val="2"/>
                <c:pt idx="0">
                  <c:v>52.9</c:v>
                </c:pt>
                <c:pt idx="1">
                  <c:v>70.599999999999994</c:v>
                </c:pt>
              </c:numCache>
            </c:numRef>
          </c:val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5 «б»</c:v>
                </c:pt>
              </c:strCache>
            </c:strRef>
          </c:tx>
          <c:invertIfNegative val="0"/>
          <c:cat>
            <c:strRef>
              <c:f>Лист1!$B$9:$C$9</c:f>
              <c:strCache>
                <c:ptCount val="2"/>
                <c:pt idx="0">
                  <c:v>Качество знаний до эксперимента</c:v>
                </c:pt>
                <c:pt idx="1">
                  <c:v>Качество знаний после эксперимента</c:v>
                </c:pt>
              </c:strCache>
            </c:strRef>
          </c:cat>
          <c:val>
            <c:numRef>
              <c:f>Лист1!$B$11:$C$11</c:f>
              <c:numCache>
                <c:formatCode>General</c:formatCode>
                <c:ptCount val="2"/>
                <c:pt idx="0">
                  <c:v>58.8</c:v>
                </c:pt>
                <c:pt idx="1">
                  <c:v>58.8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693696"/>
        <c:axId val="103703680"/>
        <c:axId val="0"/>
      </c:bar3DChart>
      <c:catAx>
        <c:axId val="10369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703680"/>
        <c:crosses val="autoZero"/>
        <c:auto val="1"/>
        <c:lblAlgn val="ctr"/>
        <c:lblOffset val="100"/>
        <c:noMultiLvlLbl val="0"/>
      </c:catAx>
      <c:valAx>
        <c:axId val="10370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693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dcterms:created xsi:type="dcterms:W3CDTF">2018-10-25T14:33:00Z</dcterms:created>
  <dcterms:modified xsi:type="dcterms:W3CDTF">2019-01-09T06:53:00Z</dcterms:modified>
</cp:coreProperties>
</file>