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B2" w:rsidRPr="00CD01B6" w:rsidRDefault="00CF2A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2AB2" w:rsidRPr="00CD01B6" w:rsidSect="00CD01B6">
      <w:headerReference w:type="defaul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A6" w:rsidRDefault="007503A6" w:rsidP="007503A6">
      <w:pPr>
        <w:spacing w:after="0" w:line="240" w:lineRule="auto"/>
      </w:pPr>
      <w:r>
        <w:separator/>
      </w:r>
    </w:p>
  </w:endnote>
  <w:endnote w:type="continuationSeparator" w:id="0">
    <w:p w:rsidR="007503A6" w:rsidRDefault="007503A6" w:rsidP="0075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A6" w:rsidRDefault="007503A6" w:rsidP="007503A6">
      <w:pPr>
        <w:spacing w:after="0" w:line="240" w:lineRule="auto"/>
      </w:pPr>
      <w:r>
        <w:separator/>
      </w:r>
    </w:p>
  </w:footnote>
  <w:footnote w:type="continuationSeparator" w:id="0">
    <w:p w:rsidR="007503A6" w:rsidRDefault="007503A6" w:rsidP="0075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  <w:r w:rsidRPr="00CD01B6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ru-RU"/>
      </w:rPr>
      <w:t>Дидактическая игра как средство воспитания детей младшего</w:t>
    </w:r>
    <w:r w:rsidRPr="007503A6"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  <w:lang w:eastAsia="ru-RU"/>
      </w:rPr>
      <w:t xml:space="preserve"> дошкольного возраста»</w:t>
    </w:r>
    <w:r w:rsidRPr="007503A6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 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Мир современного дошкольника намного сложнее и шире, чем установки педагога. Встреча взрослого и детей только тогда будет плодотворной, если взрослый будет ориентироваться на реального ребенка и его внутренний мир.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Педагог проводит с детьми достаточно времени и должен быть не только воспитателем, но и другом, а в каких-то ситуациях, может быть, заменить маму.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На мой взгляд, важно, чтобы ребенок считал воспитателя человеком, к которому можно обратиться со своими проблемами. И именно в игре дети раскрепощаются, чаще обращают на взрослого своё внимание, как на сверстника, равноправного партнера. Поэтому в процессе своей работы, я стараюсь разнообразить игровую деятельность детей, быть настоящим участником игры, умею не только выигрывать, но и проигрывать. Именно в игре дети легче воспринимают недоступные для их понимания факты и явления. Дидактическая игра является одним из видов игровой деятельности, представляет собой игру познавательную, расширяющую и систематизирующую представления об окружающем мире, влияющую на развитие любознательности, познавательных процессов и способностей дошкольника.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Играя вместе с детьми, стараюсь сохранять у детей соответствующее эмоциональное настроение, непринужденность, побуждаю к переживанию радости от участия в игре и формирую чувство удовлетворения от решения поставленных задач.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 игры является то,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— ее самостоятельный характер. Дети являются творцами игры, ее создателями. В игре ребенок живет действиями и чувствами изображаемого героя. Иногда образ так захватывает ребенка, что он даже не отзывается на привычное обращение к нему: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«Я не Максим, я водитель»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. Дети не играют молча. Даже тогда, когда ребенок один, он разговаривает с игрушкой, ведет разговор с воображаемым персонажем игры, говорит за врача и за больного.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Дидактические игры мы используем как в часы занятий, также вне их. Наблюдения за самостоятельными играми детей предоставили мне возможность выявить их знания, уровень развития, особенности поведения. Это подсказывало мне, какие игры полезны ребенку, в чем он силен, в чем отстает. В педагогической теории игры особое внимание уделяется изучению игры как средства воспитания.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Игра является средством воспитания, только тогда, когда она включается в целостный педагогический процесс. Воспитательное значение дидактической игры и в том, что она способствует развитию у детей активности, самостоятельности и веры в собственные силы. Игра-это своего рода школа, в которой ребенок активно и творчески осваивает правила и нормы поведения людей, их отношение к труду, их взаимоотношений. Знания об окружающей жизни даю детям в такой последовательности: сначала знакомлю детей с содержанием трудовой деятельности определенного вида </w:t>
    </w:r>
    <w:r w:rsidRPr="007503A6">
      <w:rPr>
        <w:rFonts w:ascii="Georgia" w:eastAsia="Times New Roman" w:hAnsi="Georgia" w:cs="Times New Roman"/>
        <w:i/>
        <w:iCs/>
        <w:color w:val="000000"/>
        <w:sz w:val="18"/>
        <w:szCs w:val="18"/>
        <w:lang w:eastAsia="ru-RU"/>
      </w:rPr>
      <w:t>(строителей, дворника, шофера, врача, продавцов и т.д.)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. После чего раскрываю перед ними значение различных видов труда, что способствует воспитанию трудолюбия. Многие дидактические игры направлены на усвоение, уточнение, закрепление этих знаний. В процессе работы я использовала такие игры, как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«Кто построил этот дом?»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,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«От зернышка до булочки»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,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«Кто нас лечит?»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«Шофер»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 и др., которые содержат такие дидактические задачи, при решении которых дети должны показать конкретные знания о труде врача, строителей, продавцов. Большое внимание уделяю усвоению сенсорных эталонов цвета, формы через дидактические игры: картинки – половинки, цветные паровозики, дары лета и другое.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Являясь ведущей деятельностью, игра в наибольшей степени способствует формированию новообразований ребенка, его психических процессов: мыслительных способностей, произвольное внимание. Сами того не замечая, дети учатся думать, вспоминать, сравнивать, обобщать. Активность детского мышления в дальнейшем становится главной предпосылкой осознанного отношения к приобретению твердых, глубоких знаний, установлению разумных отношений в коллективе.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 xml:space="preserve">Успешнее проводить свою работу мне помогают знания об индивидуальных особенностях каждого ребенка. В дидактических играх ярко проявляются черты характера каждого участника, как положительные — настойчивость, целеустремленность, честность и др., а также отрицательные — эгоизм, упрямство, лидерство. Труднее всего удается выявить индивидуальные особенности у детей замкнутых, малоактивных. Такие дети чаще всего любят оставаться в роли </w:t>
    </w:r>
    <w:proofErr w:type="gramStart"/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наблюдающих</w:t>
    </w:r>
    <w:proofErr w:type="gramEnd"/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 xml:space="preserve"> за игрой. Они боятся, что не справятся с задачей. Застенчивость, неуверенность в своих силах преодолеваются в игре. Играя вместе с детьми, незаметно даю им более легкие вопросы и задания. Удачные выполнения тех или иных задач, следующие друг за другом в разных играх, вселяют в ребят уверенность в своих силах, тем самым преодолевают их застенчивость. Соблюдение правил в ходе дидактической игры вызывает необходимость проявления усилий. Стараюсь ставить детей в такие условия, при которых они получают удовлетворение, радость от выполнения правил. </w:t>
    </w:r>
    <w:proofErr w:type="gramStart"/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Большое значение имеют не только дидактические правила игры, но и правила общения: договариваясь играть, будь добрым, вежливым, справедливым; не требуй всегда ведущей роли, помни, что и другие хотят быть ведущими, не мешай товарищам, если они заняты игрой; помни, что к материалам для игр нужно бережно относиться, окончив игру, сложи все в коробочку и убери на место.</w:t>
    </w:r>
    <w:proofErr w:type="gramEnd"/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 xml:space="preserve"> Эти и другие правила не заучиваю с детьми специально, но проявляю заботу о создании условий для их усвоения. Таким образом, дидактическая игра является средством всестороннего воспитания детей дошкольного возраста. Необходимо реализовать их так, чтобы не нарушать естественный ход игры, не лишать ее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«души»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 замечанием, указанием, нотацией. Дидактическая игра способствует формированию умения планировать, оценивать предстоящие действия, ориентироваться в ситуации, развитию навыков сотрудничества, ряда личностных качеств: терпения, настойчивости, целеустремленности. Я считаю, что при целесообразном педагогическом руководстве дидактическая игра содействует обогащению кругозора ребенка, развитию образных форм познания, упрочнению интересов, развитию речи, также усвоению норм поведения, правил взаимоотношений.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Я надеюсь, что мой опыт работы поможет организовывать жизнь детей в игре и в детском саду и дома; формировать не только игровые отношения, но и реальные, закрепить полезные привычки в норме поведения детей в разных условиях и вне игры.</w:t>
    </w:r>
  </w:p>
  <w:p w:rsidR="007503A6" w:rsidRPr="007503A6" w:rsidRDefault="007503A6" w:rsidP="007503A6">
    <w:p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b/>
        <w:bCs/>
        <w:color w:val="000000"/>
        <w:sz w:val="18"/>
        <w:szCs w:val="18"/>
        <w:lang w:eastAsia="ru-RU"/>
      </w:rPr>
      <w:t>Литература:</w:t>
    </w:r>
  </w:p>
  <w:p w:rsidR="007503A6" w:rsidRPr="007503A6" w:rsidRDefault="007503A6" w:rsidP="007503A6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А. К. Бондаренко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«Дидактические игры в детском саду»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 — Москва: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«Просвещение»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, 1991г.</w:t>
    </w:r>
  </w:p>
  <w:p w:rsidR="007503A6" w:rsidRPr="007503A6" w:rsidRDefault="007503A6" w:rsidP="007503A6">
    <w:pPr>
      <w:numPr>
        <w:ilvl w:val="0"/>
        <w:numId w:val="1"/>
      </w:numPr>
      <w:shd w:val="clear" w:color="auto" w:fill="FFFFFF"/>
      <w:spacing w:before="100" w:beforeAutospacing="1" w:after="100" w:afterAutospacing="1" w:line="240" w:lineRule="auto"/>
      <w:jc w:val="both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А. И. Сорокина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«Дидактические игры в детском саду»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 Н — Москва: </w:t>
    </w:r>
    <w:r w:rsidRPr="007503A6">
      <w:rPr>
        <w:rFonts w:ascii="Georgia" w:eastAsia="Times New Roman" w:hAnsi="Georgia" w:cs="Times New Roman"/>
        <w:b/>
        <w:bCs/>
        <w:i/>
        <w:iCs/>
        <w:color w:val="000000"/>
        <w:sz w:val="18"/>
        <w:szCs w:val="18"/>
        <w:lang w:eastAsia="ru-RU"/>
      </w:rPr>
      <w:t>«Просвещение»</w:t>
    </w:r>
    <w:r w:rsidRPr="007503A6">
      <w:rPr>
        <w:rFonts w:ascii="Georgia" w:eastAsia="Times New Roman" w:hAnsi="Georgia" w:cs="Times New Roman"/>
        <w:color w:val="000000"/>
        <w:sz w:val="18"/>
        <w:szCs w:val="18"/>
        <w:lang w:eastAsia="ru-RU"/>
      </w:rPr>
      <w:t>, 1982 г.</w:t>
    </w:r>
  </w:p>
  <w:tbl>
    <w:tblPr>
      <w:tblW w:w="0" w:type="auto"/>
      <w:jc w:val="center"/>
      <w:tblCellSpacing w:w="15" w:type="dxa"/>
      <w:tblBorders>
        <w:top w:val="double" w:sz="6" w:space="0" w:color="E3E3E3"/>
        <w:left w:val="double" w:sz="6" w:space="0" w:color="E3E3E3"/>
        <w:bottom w:val="double" w:sz="6" w:space="0" w:color="E3E3E3"/>
        <w:right w:val="double" w:sz="6" w:space="0" w:color="E3E3E3"/>
      </w:tblBorders>
      <w:shd w:val="clear" w:color="auto" w:fill="FFFFFF"/>
      <w:tblCellMar>
        <w:top w:w="15" w:type="dxa"/>
        <w:left w:w="45" w:type="dxa"/>
        <w:bottom w:w="15" w:type="dxa"/>
        <w:right w:w="45" w:type="dxa"/>
      </w:tblCellMar>
      <w:tblLook w:val="04A0" w:firstRow="1" w:lastRow="0" w:firstColumn="1" w:lastColumn="0" w:noHBand="0" w:noVBand="1"/>
    </w:tblPr>
    <w:tblGrid>
      <w:gridCol w:w="1544"/>
      <w:gridCol w:w="780"/>
      <w:gridCol w:w="1412"/>
    </w:tblGrid>
    <w:tr w:rsidR="007503A6" w:rsidRPr="007503A6" w:rsidTr="007503A6">
      <w:trPr>
        <w:tblCellSpacing w:w="15" w:type="dxa"/>
        <w:jc w:val="center"/>
      </w:trPr>
      <w:tc>
        <w:tcPr>
          <w:tcW w:w="0" w:type="auto"/>
          <w:shd w:val="clear" w:color="auto" w:fill="FFFFFF"/>
          <w:vAlign w:val="center"/>
          <w:hideMark/>
        </w:tcPr>
        <w:p w:rsidR="007503A6" w:rsidRPr="007503A6" w:rsidRDefault="00CD01B6" w:rsidP="007503A6">
          <w:pPr>
            <w:spacing w:after="0" w:line="240" w:lineRule="auto"/>
            <w:jc w:val="center"/>
            <w:rPr>
              <w:rFonts w:ascii="Georgia" w:eastAsia="Times New Roman" w:hAnsi="Georgia" w:cs="Times New Roman"/>
              <w:b/>
              <w:bCs/>
              <w:color w:val="999999"/>
              <w:sz w:val="17"/>
              <w:szCs w:val="17"/>
              <w:lang w:eastAsia="ru-RU"/>
            </w:rPr>
          </w:pPr>
          <w:hyperlink r:id="rId1" w:history="1">
            <w:r w:rsidR="007503A6" w:rsidRPr="007503A6">
              <w:rPr>
                <w:rFonts w:ascii="Georgia" w:eastAsia="Times New Roman" w:hAnsi="Georgia" w:cs="Times New Roman"/>
                <w:b/>
                <w:bCs/>
                <w:color w:val="003479"/>
                <w:sz w:val="17"/>
                <w:szCs w:val="17"/>
                <w:lang w:eastAsia="ru-RU"/>
              </w:rPr>
              <w:t>&lt; Предыдущая</w:t>
            </w:r>
          </w:hyperlink>
        </w:p>
      </w:tc>
      <w:tc>
        <w:tcPr>
          <w:tcW w:w="75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503A6" w:rsidRPr="007503A6" w:rsidRDefault="007503A6" w:rsidP="007503A6">
          <w:pPr>
            <w:spacing w:after="0" w:line="240" w:lineRule="auto"/>
            <w:rPr>
              <w:rFonts w:ascii="Georgia" w:eastAsia="Times New Roman" w:hAnsi="Georgia" w:cs="Times New Roman"/>
              <w:color w:val="999999"/>
              <w:sz w:val="18"/>
              <w:szCs w:val="18"/>
              <w:lang w:eastAsia="ru-RU"/>
            </w:rPr>
          </w:pPr>
          <w:r w:rsidRPr="007503A6">
            <w:rPr>
              <w:rFonts w:ascii="Georgia" w:eastAsia="Times New Roman" w:hAnsi="Georgia" w:cs="Times New Roman"/>
              <w:color w:val="999999"/>
              <w:sz w:val="18"/>
              <w:szCs w:val="18"/>
              <w:lang w:eastAsia="ru-RU"/>
            </w:rPr>
            <w:t> </w:t>
          </w:r>
        </w:p>
      </w:tc>
      <w:tc>
        <w:tcPr>
          <w:tcW w:w="0" w:type="auto"/>
          <w:shd w:val="clear" w:color="auto" w:fill="FFFFFF"/>
          <w:vAlign w:val="center"/>
          <w:hideMark/>
        </w:tcPr>
        <w:p w:rsidR="007503A6" w:rsidRPr="007503A6" w:rsidRDefault="00CD01B6" w:rsidP="007503A6">
          <w:pPr>
            <w:spacing w:after="0" w:line="240" w:lineRule="auto"/>
            <w:jc w:val="center"/>
            <w:rPr>
              <w:rFonts w:ascii="Georgia" w:eastAsia="Times New Roman" w:hAnsi="Georgia" w:cs="Times New Roman"/>
              <w:b/>
              <w:bCs/>
              <w:color w:val="999999"/>
              <w:sz w:val="17"/>
              <w:szCs w:val="17"/>
              <w:lang w:eastAsia="ru-RU"/>
            </w:rPr>
          </w:pPr>
          <w:hyperlink r:id="rId2" w:history="1">
            <w:r w:rsidR="007503A6" w:rsidRPr="007503A6">
              <w:rPr>
                <w:rFonts w:ascii="Georgia" w:eastAsia="Times New Roman" w:hAnsi="Georgia" w:cs="Times New Roman"/>
                <w:b/>
                <w:bCs/>
                <w:color w:val="003479"/>
                <w:sz w:val="17"/>
                <w:szCs w:val="17"/>
                <w:lang w:eastAsia="ru-RU"/>
              </w:rPr>
              <w:t>Следующая &gt;</w:t>
            </w:r>
          </w:hyperlink>
        </w:p>
      </w:tc>
    </w:tr>
  </w:tbl>
  <w:p w:rsidR="007503A6" w:rsidRDefault="00750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C8"/>
    <w:multiLevelType w:val="multilevel"/>
    <w:tmpl w:val="B89E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A6"/>
    <w:rsid w:val="007503A6"/>
    <w:rsid w:val="00CD01B6"/>
    <w:rsid w:val="00C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A6"/>
  </w:style>
  <w:style w:type="paragraph" w:styleId="a5">
    <w:name w:val="footer"/>
    <w:basedOn w:val="a"/>
    <w:link w:val="a6"/>
    <w:uiPriority w:val="99"/>
    <w:unhideWhenUsed/>
    <w:rsid w:val="007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A6"/>
  </w:style>
  <w:style w:type="paragraph" w:styleId="a5">
    <w:name w:val="footer"/>
    <w:basedOn w:val="a"/>
    <w:link w:val="a6"/>
    <w:uiPriority w:val="99"/>
    <w:unhideWhenUsed/>
    <w:rsid w:val="007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oshkolnik.ru/pedagogika/1972-sensornoe-razvitie-deteiy-doshkolnogo-vozrasta.html" TargetMode="External"/><Relationship Id="rId1" Type="http://schemas.openxmlformats.org/officeDocument/2006/relationships/hyperlink" Target="http://doshkolnik.ru/pedagogika/1909-sostavlenie-ciklogrammy-sovmestnoiy-i-individualnoiy-raboty-s-detmi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2018-10-10T10:51:00Z</dcterms:created>
  <dcterms:modified xsi:type="dcterms:W3CDTF">2018-10-10T10:55:00Z</dcterms:modified>
</cp:coreProperties>
</file>